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D8" w:rsidRPr="00A116D8" w:rsidRDefault="00A116D8" w:rsidP="00A11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Санитарные правила и нормативы СанПиН 2.6.1.2523-09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br/>
        <w:t>"Нормы радиационной безопасности НРБ-99/2009"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br/>
        <w:t>(утв.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 </w:t>
      </w:r>
      <w:hyperlink r:id="rId5" w:history="1">
        <w:r w:rsidRPr="00A116D8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val="ru-RU"/>
          </w:rPr>
          <w:t>постановлением</w:t>
        </w:r>
      </w:hyperlink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 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Главного государственного санитарного врача РФ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br/>
        <w:t>от 7 июля 2009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 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 xml:space="preserve">г. 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N 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47)</w:t>
      </w:r>
    </w:p>
    <w:p w:rsidR="00A116D8" w:rsidRPr="00A116D8" w:rsidRDefault="00A116D8" w:rsidP="00A116D8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Об утверждении НРБ 99/2009 см.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6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письмо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Роспотребнадзора</w:t>
      </w:r>
    </w:p>
    <w:p w:rsidR="00A116D8" w:rsidRPr="00A116D8" w:rsidRDefault="00A116D8" w:rsidP="00A116D8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См. также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7" w:anchor="block_1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СП 2.6.1.2612-10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"Основные санитарные правила обеспечения радиационной безопасности (ОСПОРБ-99/2010)", утвержденные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8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26 апреля 2010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40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Область применения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1.1. Нормы радиационной безопасности НРБ-99/2009 (далее - Нормы) применяются для обеспечения безопасности человека во всех условиях воздействия на него ионизирующего излучения искусственного или природного происхождения.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Требования и нормативы, установленные Нормами, являются обязательными для всех юридических и физических лиц, независимо от их подчиненности и формы собственности, в результате деятельности которых возможно облучение людей, а также для администраций субъектов Российской Федерации, местных органов власти, граждан Российской Федерации, иностранных граждан и лиц без гражданства, проживающих на территории Российской Федерации.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1.2. Настоящие Нормы устанавливают основные пределы доз, допустимые уровни воздействия ионизирующего излучения по ограничению облучения населения в соответствии с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9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Федеральным законом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от 9 января 1996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3-ФЗ "О радиационной безопасности населения"</w:t>
      </w:r>
      <w:hyperlink r:id="rId10" w:anchor="block_1011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*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1.3. Нормы распространяются на следующие источники ионизирующего излучения: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техногенные источники за счет нормальной эксплуатации техногенных источников излучения;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техногенные источники в результате радиационной аварии;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природные источники;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медицинские источники.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1.4. Требования Норм не распространяются на источники излучения, создающие при любых условиях обращения с ними: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индивидуальную годовую эффективную дозу не более 10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мкЗв; и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коллективную эффективную годовую дозу не более 1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чел.-Зв, либо когда при коллективной дозе более 1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чел.-Зв оценка по принципу оптимизации показывает нецелесообразность снижения коллективной дозы;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индивидуальную годовую эквивалентную дозу в коже не более 50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и в хрусталике глаза не более 15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Требования Норм не распространяются также на космическое излучение на поверхности Земли и внутреннее облучение человека, создаваемое природным калием, на которые практически невозможно влиять.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II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Общие положения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2.1. Для обеспечения радиационной безопасности при нормальной эксплуатации источников излучения необходимо руководствоваться следующими основными принципами: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непревышение допустимых пределов индивидуальных доз облучения граждан от всех источников излучения (принцип нормирования);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запрещение всех видов деятельности по использованию источников излучения, при которых полученная для человека и общества польза не превышает риск возможного вреда, причиненного дополнительным облучением (принцип обоснования);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излучения (принцип оптимизации).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2.2. Для обоснования расходов на радиационную защиту при реализации принципа оптимизации принимается, что облучение в коллективной эффективной дозе в 1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чел.-Зв приводит к потенциальному ущербу, равному потере примерно 1 чел.-года жизни населения. Величина денежного эквивалента потери 1 чел.-года жизни устанавливается отдельными документами федерального уровня в размере не менее 1 годового душевого национального дохода.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2.3. Для наиболее полной оценки вреда, который может быть нанесен здоровью в результате облучения в малых дозах, определяется ущерб, количественно учитывающего как эффекты облучения отдельных органов и тканей тела, отличающиеся радиочувствительностью к ионизирующему излучению, так и всего организма в целом. В соответствии с общепринятой в мире линейной беспороговой теорией зависимости риска стохастических эффектов от дозы, величина риска пропорциональна дозе излучения и связана с дозой через линейные коэффициенты радиационного риска, приведенные в таблице: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3012"/>
        <w:gridCol w:w="2860"/>
        <w:gridCol w:w="2179"/>
      </w:tblGrid>
      <w:tr w:rsidR="00A116D8" w:rsidRPr="00A116D8" w:rsidTr="00A116D8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Облучаемая группа населения</w:t>
            </w:r>
          </w:p>
        </w:tc>
        <w:tc>
          <w:tcPr>
            <w:tcW w:w="2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Коэффициент риска злокачественных новообразований, х10(-2) Зв(-1)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Коэффициент риска наследственных эффектов, х10(-2) Зв(-1)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Сумма, х10(-2) Зв(-1)</w:t>
            </w:r>
          </w:p>
        </w:tc>
      </w:tr>
      <w:tr w:rsidR="00A116D8" w:rsidRPr="00A116D8" w:rsidTr="00A116D8">
        <w:tc>
          <w:tcPr>
            <w:tcW w:w="2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5,5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5,7</w:t>
            </w:r>
          </w:p>
        </w:tc>
      </w:tr>
      <w:tr w:rsidR="00A116D8" w:rsidRPr="00A116D8" w:rsidTr="00A116D8">
        <w:tc>
          <w:tcPr>
            <w:tcW w:w="2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4,2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Усредненная величина коэффициента риска, используемая для установления пределов доз персонала и населения, принята равной 0,05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8865A6D" wp14:editId="4E31AE7F">
            <wp:extent cx="371475" cy="276225"/>
            <wp:effectExtent l="0" t="0" r="0" b="9525"/>
            <wp:docPr id="1" name="Рисунок 1" descr="https://base.garant.ru/files/base/4188851/482927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files/base/4188851/48292772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В условиях нормальной эксплуатации источников ионизирующего излучения пределы доз облучения в течение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года устанавливаются исходя из следующих значений индивидуального пожизненного риска: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для персонала 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547D91E" wp14:editId="3E0BDDED">
            <wp:extent cx="723900" cy="276225"/>
            <wp:effectExtent l="0" t="0" r="0" b="9525"/>
            <wp:docPr id="2" name="Рисунок 2" descr="https://base.garant.ru/files/base/4188851/1360231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e.garant.ru/files/base/4188851/136023138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- для населения 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06145B8" wp14:editId="680F9F56">
            <wp:extent cx="723900" cy="276225"/>
            <wp:effectExtent l="0" t="0" r="0" b="9525"/>
            <wp:docPr id="3" name="Рисунок 3" descr="https://base.garant.ru/files/base/4188851/849295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se.garant.ru/files/base/4188851/84929590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Уровень пренебрежимо малого риска составляет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EBC53F2" wp14:editId="1A2DEDEF">
            <wp:extent cx="381000" cy="276225"/>
            <wp:effectExtent l="0" t="0" r="0" b="9525"/>
            <wp:docPr id="4" name="Рисунок 4" descr="https://base.garant.ru/files/base/4188851/4105985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se.garant.ru/files/base/4188851/410598525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При обосновании защиты от источников потенциального облучения в течение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года принимаются следующие граничные значения обобщенного риска (произведение вероятности события, приводящего к облучению, и вероятности смерти, связанной с облучением):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персонал 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9ED5C49" wp14:editId="0B1D351B">
            <wp:extent cx="723900" cy="276225"/>
            <wp:effectExtent l="0" t="0" r="0" b="9525"/>
            <wp:docPr id="5" name="Рисунок 5" descr="https://base.garant.ru/files/base/4188851/2435182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se.garant.ru/files/base/4188851/243518298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,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1FA0940" wp14:editId="67DD3286">
            <wp:extent cx="447675" cy="276225"/>
            <wp:effectExtent l="0" t="0" r="0" b="9525"/>
            <wp:docPr id="6" name="Рисунок 6" descr="https://base.garant.ru/files/base/4188851/2196745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ase.garant.ru/files/base/4188851/219674544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население 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041C6F3" wp14:editId="2267D8D8">
            <wp:extent cx="723900" cy="276225"/>
            <wp:effectExtent l="0" t="0" r="0" b="9525"/>
            <wp:docPr id="7" name="Рисунок 7" descr="https://base.garant.ru/files/base/4188851/32403167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ase.garant.ru/files/base/4188851/324031673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,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67A24ED" wp14:editId="7A030DA9">
            <wp:extent cx="447675" cy="276225"/>
            <wp:effectExtent l="0" t="0" r="0" b="9525"/>
            <wp:docPr id="8" name="Рисунок 8" descr="https://base.garant.ru/files/base/4188851/2196745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ase.garant.ru/files/base/4188851/219674544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III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Требования к ограничению техногенного облучения в контролируемых условиях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3.1. Нормальные условия эксплуатации источников излучения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3.1.1. Устанавливаются следующие категории облучаемых лиц: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персонал (группы А и Б);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все население, включая лиц из персонала вне сферы и условий их производственной деятельности.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3.1.2. Для категорий облучаемых лиц устанавливаются два класса нормативов: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основные пределы доз (ПД), приведенные в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18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таблице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 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допустимые уровни монофакторного воздействия (для одного радионуклида, пути поступления или одного вида внешнего облучения), являющиеся производными от основных пределов доз: пределы годового поступления (ПГП), допустимые среднегодовые объемные активности (ДОА), среднегодовые удельные активности (ДУА) и другие;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Для обеспечения условий, при которых радиационное воздействие будет ниже допустимого, с учетом достигнутого в организации уровня радиационной безопасности, администрацией организации дополнительно устанавливаются контрольные уровни (дозы, уровни активности, плотности потоков и др.).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3.1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Основные пределы доз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465"/>
        <w:gridCol w:w="3782"/>
      </w:tblGrid>
      <w:tr w:rsidR="00A116D8" w:rsidRPr="00A116D8" w:rsidTr="00A116D8"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Нормируемые величины</w:t>
            </w:r>
            <w:hyperlink r:id="rId19" w:anchor="block_31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*(1)</w:t>
              </w:r>
            </w:hyperlink>
          </w:p>
        </w:tc>
        <w:tc>
          <w:tcPr>
            <w:tcW w:w="72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Пределы доз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персонал (группа А)</w:t>
            </w:r>
            <w:hyperlink r:id="rId20" w:anchor="block_31222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*(2)</w:t>
              </w:r>
            </w:hyperlink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Население</w:t>
            </w:r>
          </w:p>
        </w:tc>
      </w:tr>
      <w:tr w:rsidR="00A116D8" w:rsidRPr="00A116D8" w:rsidTr="00A116D8"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Эффективная доза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20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 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мЗв в год в среднем за любые последовательные 5 лет, но не более 50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 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мЗв в год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1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 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мЗв в год в среднем за любые последовательные 5 лет, но не более 5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 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мЗв в год</w:t>
            </w:r>
          </w:p>
        </w:tc>
      </w:tr>
      <w:tr w:rsidR="00A116D8" w:rsidRPr="00A116D8" w:rsidTr="00A116D8"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ru-RU"/>
              </w:rPr>
              <w:t>Эквивалентная доза за год в хрусталике глаза</w:t>
            </w:r>
            <w:hyperlink r:id="rId21" w:anchor="block_31333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val="ru-RU"/>
                </w:rPr>
                <w:t>*(3)</w:t>
              </w:r>
            </w:hyperlink>
          </w:p>
        </w:tc>
        <w:tc>
          <w:tcPr>
            <w:tcW w:w="34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150 мЗв</w:t>
            </w:r>
          </w:p>
        </w:tc>
        <w:tc>
          <w:tcPr>
            <w:tcW w:w="37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 мЗв</w:t>
            </w:r>
          </w:p>
        </w:tc>
      </w:tr>
      <w:tr w:rsidR="00A116D8" w:rsidRPr="00A116D8" w:rsidTr="00A116D8"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коже</w:t>
            </w:r>
            <w:hyperlink r:id="rId22" w:anchor="block_31444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*(4)</w:t>
              </w:r>
            </w:hyperlink>
          </w:p>
        </w:tc>
        <w:tc>
          <w:tcPr>
            <w:tcW w:w="34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500 мЗв</w:t>
            </w:r>
          </w:p>
        </w:tc>
        <w:tc>
          <w:tcPr>
            <w:tcW w:w="37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 мЗв</w:t>
            </w:r>
          </w:p>
        </w:tc>
      </w:tr>
      <w:tr w:rsidR="00A116D8" w:rsidRPr="00A116D8" w:rsidTr="00A116D8"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кистях и стопах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500 мЗв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 мЗв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Примечания: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*(1) Допускается одновременное облучение до указанных пределов по всем нормируемым величинам.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*(2) Основные пределы доз, как и все остальные допустимые уровни воздействия персонала группы Б, равны 1/4 значений для персонала группы А. Далее в тексте все нормативные значения для категории персонал приводятся только для группы А.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*(3) Относится к дозе на глубине 300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6E79154" wp14:editId="4DACB643">
            <wp:extent cx="542925" cy="257175"/>
            <wp:effectExtent l="0" t="0" r="9525" b="9525"/>
            <wp:docPr id="9" name="Рисунок 9" descr="https://base.garant.ru/files/base/4188851/3168990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ase.garant.ru/files/base/4188851/316899085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*(4) Относится к среднему по площади в 1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CBF3FAC" wp14:editId="3D0D01AF">
            <wp:extent cx="285750" cy="257175"/>
            <wp:effectExtent l="0" t="0" r="0" b="9525"/>
            <wp:docPr id="10" name="Рисунок 10" descr="https://base.garant.ru/files/base/4188851/4050488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ase.garant.ru/files/base/4188851/405048805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значению в базальном слое кожи толщиной 5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FFA8293" wp14:editId="0EAA0D94">
            <wp:extent cx="542925" cy="257175"/>
            <wp:effectExtent l="0" t="0" r="9525" b="9525"/>
            <wp:docPr id="11" name="Рисунок 11" descr="https://base.garant.ru/files/base/4188851/3168990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ase.garant.ru/files/base/4188851/316899085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под покровным слоем толщиной 5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8701A1F" wp14:editId="0A79CFF4">
            <wp:extent cx="542925" cy="257175"/>
            <wp:effectExtent l="0" t="0" r="9525" b="9525"/>
            <wp:docPr id="12" name="Рисунок 12" descr="https://base.garant.ru/files/base/4188851/3168990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ase.garant.ru/files/base/4188851/316899085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 На ладонях толщина покровного слоя - 40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FA6CD22" wp14:editId="0D112C90">
            <wp:extent cx="542925" cy="257175"/>
            <wp:effectExtent l="0" t="0" r="9525" b="9525"/>
            <wp:docPr id="13" name="Рисунок 13" descr="https://base.garant.ru/files/base/4188851/3168990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ase.garant.ru/files/base/4188851/316899085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 Указанным пределом допускается облучение всей кожи человека при условии, что в пределах усредненного облучения любого 1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D188231" wp14:editId="585DA9E0">
            <wp:extent cx="285750" cy="257175"/>
            <wp:effectExtent l="0" t="0" r="0" b="9525"/>
            <wp:docPr id="14" name="Рисунок 14" descr="https://base.garant.ru/files/base/4188851/4050488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ase.garant.ru/files/base/4188851/405048805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площади кожи этот предел не будет превышен. Предел дозы при облучении кожи лица обеспечивает непревышение предела дозы на хрусталик от бета-частиц.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3.1.3. Основные пределы доз облучения не включают в себя дозы от природного и медицинского облучения, а также дозы вследствие радиационных аварий. На эти виды облучения устанавливаются специальные ограничения.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3.1.4. Эффективная доза для персонала не должна превышать за период трудовой деятельности (50 лет) - 1000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мЗв, а для населения за период жизни (70 лет) - 70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мЗв. Началом периодов считается 1 января 2000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года.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3.1.5. Годовая эффективная доза облучения персонала за счет нормальной эксплуатации техногенных источников ионизирующего излучения не должна превышать пределов доз, установленных в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25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табл.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 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Под годовой эффективной дозой понимается сумма эффективной дозы внешнего облучения, полученной за календарный год, и ожидаемой эффективной дозы внутреннего облучения, обусловленной поступлением в организм радионуклидов за этот же год.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3.1.6. В стандартных условиях монофакторного поступления радионуклидов, определенных в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26" w:anchor="block_18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разделе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 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8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Норм, годовое поступление радионуклидов через органы дыхания и среднегодовая объемная активность их во вдыхаемом воздухе не должны превышать числовых значений ПГП и ДОА, приведенных в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27" w:anchor="block_1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Приложениях 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и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28" w:anchor="block_2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2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, где пределы доз взяты равными 20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в год для персонала и 1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в год для населения.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В условиях нестандартного поступления радионуклидов величины ПГП и ДОА устанавливаются в соответствии с санитарным законодательством.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3.1.7. Для персонала группы А значения ПГП и ДОА дочерних продуктов изотопов радона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04780C5" wp14:editId="6EB57BA5">
            <wp:extent cx="400050" cy="200025"/>
            <wp:effectExtent l="0" t="0" r="0" b="9525"/>
            <wp:docPr id="15" name="Рисунок 15" descr="https://base.garant.ru/files/base/4188851/98224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ase.garant.ru/files/base/4188851/98224096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и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223DFC8" wp14:editId="560D9635">
            <wp:extent cx="400050" cy="200025"/>
            <wp:effectExtent l="0" t="0" r="0" b="9525"/>
            <wp:docPr id="16" name="Рисунок 16" descr="https://base.garant.ru/files/base/4188851/2610277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ase.garant.ru/files/base/4188851/2610277725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) 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54CC9CF" wp14:editId="5E7917A2">
            <wp:extent cx="400050" cy="200025"/>
            <wp:effectExtent l="0" t="0" r="0" b="9525"/>
            <wp:docPr id="17" name="Рисунок 17" descr="https://base.garant.ru/files/base/4188851/4058279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ase.garant.ru/files/base/4188851/4058279198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DE6CEFB" wp14:editId="1C856FA2">
            <wp:extent cx="323850" cy="200025"/>
            <wp:effectExtent l="0" t="0" r="0" b="9525"/>
            <wp:docPr id="18" name="Рисунок 18" descr="https://base.garant.ru/files/base/4188851/2636041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ase.garant.ru/files/base/4188851/2636041063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);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A9F69A5" wp14:editId="7EEBD728">
            <wp:extent cx="400050" cy="200025"/>
            <wp:effectExtent l="0" t="0" r="0" b="9525"/>
            <wp:docPr id="19" name="Рисунок 19" descr="https://base.garant.ru/files/base/4188851/300308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ase.garant.ru/files/base/4188851/300308395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0A4BF86" wp14:editId="43CB7619">
            <wp:extent cx="323850" cy="200025"/>
            <wp:effectExtent l="0" t="0" r="0" b="9525"/>
            <wp:docPr id="20" name="Рисунок 20" descr="https://base.garant.ru/files/base/4188851/1319899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ase.garant.ru/files/base/4188851/1319899773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);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B5456B1" wp14:editId="23337DD4">
            <wp:extent cx="361950" cy="200025"/>
            <wp:effectExtent l="0" t="0" r="0" b="9525"/>
            <wp:docPr id="21" name="Рисунок 21" descr="https://base.garant.ru/files/base/4188851/3102067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ase.garant.ru/files/base/4188851/3102067343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D8E8410" wp14:editId="6AD43AC1">
            <wp:extent cx="342900" cy="200025"/>
            <wp:effectExtent l="0" t="0" r="0" b="9525"/>
            <wp:docPr id="22" name="Рисунок 22" descr="https://base.garant.ru/files/base/4188851/3547392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ase.garant.ru/files/base/4188851/3547392505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);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F6D49C1" wp14:editId="1F112349">
            <wp:extent cx="400050" cy="200025"/>
            <wp:effectExtent l="0" t="0" r="0" b="9525"/>
            <wp:docPr id="23" name="Рисунок 23" descr="https://base.garant.ru/files/base/4188851/39485746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ase.garant.ru/files/base/4188851/3948574689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EB35930" wp14:editId="6C493299">
            <wp:extent cx="314325" cy="200025"/>
            <wp:effectExtent l="0" t="0" r="9525" b="9525"/>
            <wp:docPr id="24" name="Рисунок 24" descr="https://base.garant.ru/files/base/4188851/3311013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ase.garant.ru/files/base/4188851/3311013794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);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1716BBE" wp14:editId="0A8B977D">
            <wp:extent cx="361950" cy="200025"/>
            <wp:effectExtent l="0" t="0" r="0" b="9525"/>
            <wp:docPr id="25" name="Рисунок 25" descr="https://base.garant.ru/files/base/4188851/3333607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ase.garant.ru/files/base/4188851/3333607856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73F21AE" wp14:editId="26CC32B1">
            <wp:extent cx="333375" cy="200025"/>
            <wp:effectExtent l="0" t="0" r="9525" b="9525"/>
            <wp:docPr id="26" name="Рисунок 26" descr="https://base.garant.ru/files/base/4188851/873817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ase.garant.ru/files/base/4188851/873817527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) в единицах эквивалентной равновесной активности (для ПГП) и эквивалентной равновесной объемной активности (для ДОА) составляют: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ПГП: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BFBD8E4" wp14:editId="4ED25FCF">
            <wp:extent cx="2590800" cy="238125"/>
            <wp:effectExtent l="0" t="0" r="0" b="9525"/>
            <wp:docPr id="27" name="Рисунок 27" descr="https://base.garant.ru/files/base/4188851/42319577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ase.garant.ru/files/base/4188851/4231957766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МБк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7BC8403" wp14:editId="1F8F6B32">
            <wp:extent cx="1905000" cy="238125"/>
            <wp:effectExtent l="0" t="0" r="0" b="9525"/>
            <wp:docPr id="28" name="Рисунок 28" descr="https://base.garant.ru/files/base/4188851/2462988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ase.garant.ru/files/base/4188851/2462988883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МБк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ДОА: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6213131" wp14:editId="3CC58CA0">
            <wp:extent cx="3181350" cy="295275"/>
            <wp:effectExtent l="0" t="0" r="0" b="9525"/>
            <wp:docPr id="29" name="Рисунок 29" descr="https://base.garant.ru/files/base/4188851/606721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base.garant.ru/files/base/4188851/606721636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269174A" wp14:editId="5CDDAB20">
            <wp:extent cx="2333625" cy="295275"/>
            <wp:effectExtent l="0" t="0" r="9525" b="9525"/>
            <wp:docPr id="30" name="Рисунок 30" descr="https://base.garant.ru/files/base/4188851/3297331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base.garant.ru/files/base/4188851/329733124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,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где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4AF60B4" wp14:editId="0B192806">
            <wp:extent cx="190500" cy="238125"/>
            <wp:effectExtent l="0" t="0" r="0" b="9525"/>
            <wp:docPr id="31" name="Рисунок 31" descr="https://base.garant.ru/files/base/4188851/2989181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ase.garant.ru/files/base/4188851/2989181505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и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71DA5AA" wp14:editId="4346D7EB">
            <wp:extent cx="190500" cy="238125"/>
            <wp:effectExtent l="0" t="0" r="0" b="9525"/>
            <wp:docPr id="32" name="Рисунок 32" descr="https://base.garant.ru/files/base/4188851/2394237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base.garant.ru/files/base/4188851/2394237682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годовые поступления и среднегодовые объемные активности в зоне дыхания соответствующих дочерних продуктов изотопов радона.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3.1.8. Для женщин в возрасте до 45 лет, работающих с источниками излучения, вводятся дополнительные ограничения: эквивалентная доза на поверхности нижней части области живота не должна превышать 1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в месяц, а поступление радионуклидов в организм за год не должно быть более 1/20 предела годового поступления для персонала.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На период беременности и грудного вскармливания ребенка женщины должны переводиться на работу, не связанную с источниками ионизирующего излучения.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3.1.9. Для студентов и учащихся старше 16 лет, проходящих профессиональное обучение с использованием источников излучения, годовые дозы не должны превышать значений, установленных для персонала группы Б.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3.2. Планируемое повышенное облучение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3.2.1. Планируемое повышенное облучение персонала группы А выше установленных пределов доз (см.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47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табл.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 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.) при предотвращении развития аварии или ликвидации ее последствий может быть разрешено только в случае необходимости спасения людей и (или) предотвращения их облучения. Планируемое повышенное облучение допускается для мужчин, как правило, старше 30 лет лишь при их добровольном письменном согласии, после информирования о возможных дозах облучения и риске для здоровья.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3.2.2. Планируемое повышенное облучение в эффективной дозе до 100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в год и эквивалентных дозах не более двукратных значений, приведенных в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48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табл.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 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, допускается организациями (структурными подразделениями) федеральных органов исполнительной власти, осуществляющих государственный санитарно-эпидемиологический надзор на уровне субъекта Российской Федерации, а облучение в эффективной дозе до 200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в год и четырехкратных значений эквивалентных доз по табл.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3.1 - допускается только федеральными органами исполнительной власти, уполномоченными осуществлять государственный санитарно-эпидемиологический надзор.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Повышенное облучение не допускается: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для работников, ранее уже облученных в течение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года в результате аварии или запланированного повышенного облучения с эффективной дозой 200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или с эквивалентной дозой, превышающей в четыре раза соответствующие пределы доз, приведенные в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49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табл.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 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для лиц, имеющих медицинские противопоказания для работы с источниками излучения.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3.2.3. Лица, подвергшиеся облучению в эффективной дозе, превышающей 100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в течение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года, при дальнейшей работе не должны подвергаться облучению в дозе свыше 20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за год.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Облучение эффективной дозой свыше 200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в течение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года должно рассматриваться как потенциально опасное. Лица, подвергшиеся такому облучению, должны немедленно выводиться из зоны облучения и направляться на медицинское обследование. Последующая работа с источниками излучения этим лицам может быть разрешена только в индивидуальном порядке с учетом их согласия по решению компетентной медицинской комиссии.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3.2.4. Лица, не относящиеся к персоналу, привлекаемые для проведения аварийных и спасательных работ, должны быть оформлены и допущены к работам как персонал группы А.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IV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Требования к защите от природного облучения в производственных условиях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4.1. Эффективная доза облучения природными источниками излучения всех работников, включая персонал, не должна превышать 5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в год в производственных условиях (любые профессии и производства).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4.2. Средние значения радиационных факторов в течение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года, соответствующие при монофакторном воздействии эффективной дозе 5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мЗв за год при продолжительности работы 2000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ч/год, средней скорости дыхания 1,2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7696783" wp14:editId="058FB043">
            <wp:extent cx="381000" cy="257175"/>
            <wp:effectExtent l="0" t="0" r="0" b="9525"/>
            <wp:docPr id="33" name="Рисунок 33" descr="https://base.garant.ru/files/base/4188851/819077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ase.garant.ru/files/base/4188851/819077201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и радиоактивном равновесии радионуклидов уранового и ториевого рядов в производственной пыли, составляют: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мощность эффективной дозы гамма-излучения на рабочем месте - 2,5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мкЗв/ч;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1B4F710" wp14:editId="3F7E292C">
            <wp:extent cx="609600" cy="238125"/>
            <wp:effectExtent l="0" t="0" r="0" b="9525"/>
            <wp:docPr id="34" name="Рисунок 34" descr="https://base.garant.ru/files/base/4188851/3343412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base.garant.ru/files/base/4188851/3343412062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в воздухе зоны дыхания - 310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676FEED" wp14:editId="787864D8">
            <wp:extent cx="466725" cy="257175"/>
            <wp:effectExtent l="0" t="0" r="9525" b="9525"/>
            <wp:docPr id="35" name="Рисунок 35" descr="https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E1E82F8" wp14:editId="135FEE75">
            <wp:extent cx="609600" cy="238125"/>
            <wp:effectExtent l="0" t="0" r="0" b="9525"/>
            <wp:docPr id="36" name="Рисунок 36" descr="https://base.garant.ru/files/base/4188851/1529708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base.garant.ru/files/base/4188851/152970843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в воздухе зоны дыхания - 68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39338C4" wp14:editId="0AEB26BD">
            <wp:extent cx="466725" cy="257175"/>
            <wp:effectExtent l="0" t="0" r="9525" b="9525"/>
            <wp:docPr id="37" name="Рисунок 37" descr="https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- удельная активность в производственной пыли урана-238, находящегося в радиоактивном равновесии с членами своего ряда 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1F5746C" wp14:editId="43F77332">
            <wp:extent cx="409575" cy="200025"/>
            <wp:effectExtent l="0" t="0" r="9525" b="9525"/>
            <wp:docPr id="38" name="Рисунок 38" descr="https://base.garant.ru/files/base/4188851/3823751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base.garant.ru/files/base/4188851/3823751957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кБк/кг, где 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f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 - среднегодовая общая запыленность воздуха в зоне дыхания,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0801613" wp14:editId="209A5674">
            <wp:extent cx="466725" cy="257175"/>
            <wp:effectExtent l="0" t="0" r="9525" b="9525"/>
            <wp:docPr id="39" name="Рисунок 39" descr="https://base.garant.ru/files/base/4188851/1461186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ase.garant.ru/files/base/4188851/1461186421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удельная активность в производственной пыли тория-232, находящегося в радиоактивном равновесии с членами своего ряда, -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CDB8B48" wp14:editId="3A1AAE64">
            <wp:extent cx="409575" cy="200025"/>
            <wp:effectExtent l="0" t="0" r="9525" b="9525"/>
            <wp:docPr id="40" name="Рисунок 40" descr="https://base.garant.ru/files/base/4188851/1673704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base.garant.ru/files/base/4188851/1673704207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, кБк/кг.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При многофакторном воздействии должно выполняться условие: сумма отношений воздействующих факторов к значениям, приведенным выше, не должна превышать 1.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4.3. Воздействие космических излучений на экипажи самолетов нормируется как природное облучение в производственных условиях по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57" w:anchor="block_104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п.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 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4.1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V</w:t>
      </w: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Требования к ограничению облучения населения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5.1. Общие положения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5.1.1. Радиационная безопасность населения достигается путем ограничения воздействия от всех основных видов облучения (</w:t>
      </w:r>
      <w:hyperlink r:id="rId58" w:anchor="block_1013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п.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 </w:t>
        </w:r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1.3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). Возможности регулирования разных видов облучения существенно различаются, поэтому регламентация их осуществляется раздельно с применением разных методологических подходов и технических способов.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5.1.2. В отношении всех источников облучения населения следует принимать меры как по снижению дозы облучения у отдельных лиц, так и по уменьшению числа лиц, подвергающихся облучению, в соответствии с принципом оптимизации.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5.2. Ограничение техногенного облучения в нормальных условиях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5.2.1. Годовая доза облучения населения не должна превышать основные пределы доз (</w:t>
      </w:r>
      <w:hyperlink r:id="rId59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). Указанные пределы доз относятся к средней дозе критической группы населения, рассматриваемой как сумма доз внешнего облучения за текущий год и ожидаемой дозы до 70 лет вследствие поступления радионуклидов в организм за текущий год.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5.2.2. При воздействии на население нескольких техногенных источников федеральными органами исполнительной власти, уполномоченными осуществлять государственный санитарно-эпидемиологический надзор, устанавливаются величины воздействия для каждого источника с целью соблюдения основных пределов доз, указанных в </w:t>
      </w:r>
      <w:hyperlink r:id="rId60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таблице 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5.2.3. Облучение населения техногенными источниками излучения ограничивается путем обеспечения сохранности источников излучения, контроля технологических процессов и ограничения выброса (сброса) радионуклидов в окружающую среду, а также другими мероприятиями на стадии проектирования, эксплуатации и прекращения использования источников излучения.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5.2.4. Допустимые значения содержания радионуклидов в пищевых продуктах, питьевой воде и воздухе, соответствующие пределу дозы техногенного облучения населения 1 мЗв/год и квотам от этого предела, рассчитываются на основании значений дозовых коэффициентов при поступлении радионуклидов через органы пищеварения с учетом их распределения по компонентам рациона питания и питьевой воде, а также с учетом поступления радионуклидов через органы дыхания и внешнего облучения людей. 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Значения дозовых коэффициентов для критических групп населения, ДОА и ПГП через органы дыхания и ПГП через органы пищеварения, приведены в </w:t>
      </w:r>
      <w:hyperlink r:id="rId61" w:anchor="block_2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Приложении 2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5.3. Ограничение природного облучения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5.3.1. Допустимое значение эффективной дозы, обусловленной суммарным воздействием природных источников излучения, для населения не устанавливается. Снижение облучения населения достигается путем установления системы ограничений на облучение населения от отдельных природных источников излучения.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5.3.2. При проектировании новых зданий жилищного и общественного назначения должно быть предусмотрено, чтобы среднегодовая эквивалентная равновесная объемная активность дочерних продуктов радона и торона в воздухе помещений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D7AFB5C" wp14:editId="570D511B">
            <wp:extent cx="1590675" cy="238125"/>
            <wp:effectExtent l="0" t="0" r="9525" b="9525"/>
            <wp:docPr id="41" name="Рисунок 41" descr="https://base.garant.ru/files/base/4188851/2982476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base.garant.ru/files/base/4188851/2982476543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не превышала 100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209C6B8" wp14:editId="41D80816">
            <wp:extent cx="466725" cy="257175"/>
            <wp:effectExtent l="0" t="0" r="9525" b="9525"/>
            <wp:docPr id="42" name="Рисунок 42" descr="https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а мощность эффективной дозы гамма-излучения не превышала мощность дозы на открытой местности более чем на 0,2 мкЗв/ч.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5.3.3. В эксплуатируемых жилых и общественных зданиях среднегодовая эквивалентная равновесная объемная активность дочерних продуктов радона и торона в воздухе жилых и общественных помещений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C1979EE" wp14:editId="25CC765E">
            <wp:extent cx="1581150" cy="238125"/>
            <wp:effectExtent l="0" t="0" r="0" b="9525"/>
            <wp:docPr id="43" name="Рисунок 43" descr="https://base.garant.ru/files/base/4188851/232014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base.garant.ru/files/base/4188851/232014554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не должна превышать 200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8676751" wp14:editId="58E3A506">
            <wp:extent cx="466725" cy="257175"/>
            <wp:effectExtent l="0" t="0" r="9525" b="9525"/>
            <wp:docPr id="44" name="Рисунок 44" descr="https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 При более высоких значениях объемной активности должны проводиться защитные мероприятия, направленные на снижение поступления радона в воздух помещений и улучшение вентиляции помещений. Защитные мероприятия должны проводиться также, если мощность эффективной дозы гамма-излучения в помещениях превышает мощность дозы на открытой местности более чем на 0,2 мкЗв/ч.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5.3.4. Эффективная удельная активность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1F36FAE" wp14:editId="5B569FF6">
            <wp:extent cx="361950" cy="238125"/>
            <wp:effectExtent l="0" t="0" r="0" b="9525"/>
            <wp:docPr id="45" name="Рисунок 45" descr="https://base.garant.ru/files/base/4188851/3625220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base.garant.ru/files/base/4188851/3625220659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природных радионуклидов в строительных материалах (щебень, гравий, песок, бутовый и пиленный камень, цементное и кирпичное сырье и пр.), добываемых на их месторождениях или являющихся побочным продуктом промышленности, а также отходы промышленного производства, используемые для изготовления строительных материалов (золы, шлаки и пр.), и готовой продукции не должна превышать: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для материалов, используемых в строящихся и реконструируемых жилых и общественных зданиях (I класс):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3105D92" wp14:editId="0580F8FD">
            <wp:extent cx="2295525" cy="238125"/>
            <wp:effectExtent l="0" t="0" r="9525" b="9525"/>
            <wp:docPr id="46" name="Рисунок 46" descr="https://base.garant.ru/files/base/4188851/1332916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base.garant.ru/files/base/4188851/1332916316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 Бк/кг,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где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5E29171" wp14:editId="3A6025BE">
            <wp:extent cx="285750" cy="238125"/>
            <wp:effectExtent l="0" t="0" r="0" b="9525"/>
            <wp:docPr id="47" name="Рисунок 47" descr="https://base.garant.ru/files/base/4188851/3480481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base.garant.ru/files/base/4188851/3480481385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FF26900" wp14:editId="5150139F">
            <wp:extent cx="295275" cy="238125"/>
            <wp:effectExtent l="0" t="0" r="9525" b="9525"/>
            <wp:docPr id="48" name="Рисунок 48" descr="https://base.garant.ru/files/base/4188851/2173444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base.garant.ru/files/base/4188851/2173444152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- удельные активности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1B313BF" wp14:editId="103844AA">
            <wp:extent cx="400050" cy="200025"/>
            <wp:effectExtent l="0" t="0" r="0" b="9525"/>
            <wp:docPr id="49" name="Рисунок 49" descr="https://base.garant.ru/files/base/4188851/315609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base.garant.ru/files/base/4188851/315609649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E094BB1" wp14:editId="68CC4522">
            <wp:extent cx="390525" cy="200025"/>
            <wp:effectExtent l="0" t="0" r="9525" b="9525"/>
            <wp:docPr id="50" name="Рисунок 50" descr="https://base.garant.ru/files/base/4188851/3984634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base.garant.ru/files/base/4188851/3984634481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находящихся в радиоактивном равновесии с остальными членами уранового и ториевого рядов,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5A9C62D" wp14:editId="42250B61">
            <wp:extent cx="238125" cy="238125"/>
            <wp:effectExtent l="0" t="0" r="9525" b="9525"/>
            <wp:docPr id="51" name="Рисунок 51" descr="https://base.garant.ru/files/base/4188851/132416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base.garant.ru/files/base/4188851/1324165405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- удельная активность К-40 (Бк/кг);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для материалов, используемых в дорожном строительстве в пределах территории населенных пунктов и зон перспективной застройки, а также при возведении производственных сооружений (II класс):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D249660" wp14:editId="4990F40B">
            <wp:extent cx="742950" cy="238125"/>
            <wp:effectExtent l="0" t="0" r="0" b="9525"/>
            <wp:docPr id="52" name="Рисунок 52" descr="https://base.garant.ru/files/base/4188851/2998679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ase.garant.ru/files/base/4188851/2998679075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 Бк/кг;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для материалов, используемых в дорожном строительстве вне населенных пунктов (III класс):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FA99540" wp14:editId="52885C9B">
            <wp:extent cx="828675" cy="238125"/>
            <wp:effectExtent l="0" t="0" r="9525" b="9525"/>
            <wp:docPr id="53" name="Рисунок 53" descr="https://base.garant.ru/files/base/4188851/1505553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base.garant.ru/files/base/4188851/1505553556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 Бк/кг.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При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7CF90D1" wp14:editId="22612459">
            <wp:extent cx="2066925" cy="238125"/>
            <wp:effectExtent l="0" t="0" r="9525" b="9525"/>
            <wp:docPr id="54" name="Рисунок 54" descr="https://base.garant.ru/files/base/4188851/1234410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base.garant.ru/files/base/4188851/1234410785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(IV класс) вопрос об использовании материалов решается в каждом случае отдельно на основании санитарно-эпидемиологического заключения федерального органа исполнительной власти, уполномоченного осуществлять государственный санитарно-эпидемиологический надзор. При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0F3703A" wp14:editId="13F18B32">
            <wp:extent cx="704850" cy="238125"/>
            <wp:effectExtent l="0" t="0" r="0" b="9525"/>
            <wp:docPr id="55" name="Рисунок 55" descr="https://base.garant.ru/files/base/4188851/35789479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base.garant.ru/files/base/4188851/3578947972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кБк/кг материалы не должны использоваться в строительстве.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Допустимое содержание природных радионуклидов в минеральном сырье и материалах, продукции с их использованием (изделия из керамики и керамогранита, природного и искусственного камня и т.п.), а также требования по обеспечению радиационной безопасности при обращении с ними устанавливаются в санитарных правилах по ограничению облучения населения за счет природных источников излучения.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5.3.5. Предварительная оценка качества питьевой воды по показателям радиационной безопасности может быть дана по удельной суммарной альфа-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62533CC" wp14:editId="3EDD5FD1">
            <wp:extent cx="219075" cy="238125"/>
            <wp:effectExtent l="0" t="0" r="9525" b="9525"/>
            <wp:docPr id="56" name="Рисунок 56" descr="https://base.garant.ru/files/base/4188851/1449020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base.garant.ru/files/base/4188851/1449020218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и бета-активности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C40BA9A" wp14:editId="29617E42">
            <wp:extent cx="219075" cy="238125"/>
            <wp:effectExtent l="0" t="0" r="9525" b="9525"/>
            <wp:docPr id="57" name="Рисунок 57" descr="https://base.garant.ru/files/base/4188851/1966942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base.garant.ru/files/base/4188851/1966942033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). При значениях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A438734" wp14:editId="407BEC96">
            <wp:extent cx="219075" cy="238125"/>
            <wp:effectExtent l="0" t="0" r="9525" b="9525"/>
            <wp:docPr id="58" name="Рисунок 58" descr="https://base.garant.ru/files/base/4188851/1449020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base.garant.ru/files/base/4188851/1449020218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BA6A6E3" wp14:editId="6C212F27">
            <wp:extent cx="219075" cy="238125"/>
            <wp:effectExtent l="0" t="0" r="9525" b="9525"/>
            <wp:docPr id="59" name="Рисунок 59" descr="https://base.garant.ru/files/base/4188851/1966942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base.garant.ru/files/base/4188851/1966942033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ниже 0,2 и 1,0 Бк/кг, соответственно, дальнейшие исследования воды не являются обязательными. В случае превышения указанных уровней проводится анализ содержания радионуклидов в воде. Приоритетный перечень определяемых при этом радионуклидов в воде устанавливается в соответствии с санитарным законодательством.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Если при совместном присутствии в воде нескольких природных и техногенных радионуклидов выполняется условие: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ind w:firstLine="680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35D39DD" wp14:editId="63230BE8">
            <wp:extent cx="1057275" cy="504825"/>
            <wp:effectExtent l="0" t="0" r="0" b="9525"/>
            <wp:docPr id="60" name="Рисунок 60" descr="https://base.garant.ru/files/base/4188851/27143614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base.garant.ru/files/base/4188851/2714361491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где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A81C69A" wp14:editId="56A463CB">
            <wp:extent cx="190500" cy="238125"/>
            <wp:effectExtent l="0" t="0" r="0" b="9525"/>
            <wp:docPr id="61" name="Рисунок 61" descr="https://base.garant.ru/files/base/4188851/1098478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base.garant.ru/files/base/4188851/1098478170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- удельная активность i-го радионуклида в воде, Бк/кг;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FACCA54" wp14:editId="4FFEE4E6">
            <wp:extent cx="295275" cy="238125"/>
            <wp:effectExtent l="0" t="0" r="9525" b="9525"/>
            <wp:docPr id="62" name="Рисунок 62" descr="https://base.garant.ru/files/base/4188851/322870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base.garant.ru/files/base/4188851/3228704105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- соответствующие уровни вмешательства по </w:t>
      </w:r>
      <w:hyperlink r:id="rId80" w:anchor="block_21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Приложению 2а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Бк/кг,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то мероприятия по снижению радиоактивности питьевой воды не являются обязательными.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При невыполнении указанного условия защитные мероприятия по снижению содержания радионуклидов в питьевой воде должны осуществляться с учетом принципа оптимизации.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Критическим путем облучения людей за счет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2DABDD3" wp14:editId="22BE4E9E">
            <wp:extent cx="400050" cy="200025"/>
            <wp:effectExtent l="0" t="0" r="0" b="9525"/>
            <wp:docPr id="63" name="Рисунок 63" descr="https://base.garant.ru/files/base/4188851/98224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base.garant.ru/files/base/4188851/98224096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содержащегося в питьевой воде, является переход радона в воздух помещения и последующее ингаляционное поступление дочерних продуктов радона в организм. Уровень вмешательства для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CB1222A" wp14:editId="051BA516">
            <wp:extent cx="400050" cy="200025"/>
            <wp:effectExtent l="0" t="0" r="0" b="9525"/>
            <wp:docPr id="64" name="Рисунок 64" descr="https://base.garant.ru/files/base/4188851/98224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base.garant.ru/files/base/4188851/98224096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в питьевой воде составляет 60 Бк/кг. Определение удельной активности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2788F49" wp14:editId="4B7E0262">
            <wp:extent cx="400050" cy="200025"/>
            <wp:effectExtent l="0" t="0" r="0" b="9525"/>
            <wp:docPr id="65" name="Рисунок 65" descr="https://base.garant.ru/files/base/4188851/98224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base.garant.ru/files/base/4188851/98224096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в питьевой воде из подземных источников является обязательным.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При возможном присутствии в воде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61D97D2" wp14:editId="61FD3700">
            <wp:extent cx="238125" cy="200025"/>
            <wp:effectExtent l="0" t="0" r="9525" b="9525"/>
            <wp:docPr id="66" name="Рисунок 66" descr="https://base.garant.ru/files/base/4188851/1130271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base.garant.ru/files/base/4188851/1130271928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85624E3" wp14:editId="4F0B5021">
            <wp:extent cx="276225" cy="200025"/>
            <wp:effectExtent l="0" t="0" r="9525" b="9525"/>
            <wp:docPr id="67" name="Рисунок 67" descr="https://base.garant.ru/files/base/4188851/2629492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base.garant.ru/files/base/4188851/2629492199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BD1EAE4" wp14:editId="0DB5ABCD">
            <wp:extent cx="285750" cy="200025"/>
            <wp:effectExtent l="0" t="0" r="0" b="9525"/>
            <wp:docPr id="68" name="Рисунок 68" descr="https://base.garant.ru/files/base/4188851/974289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base.garant.ru/files/base/4188851/974289391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F2CD8D0" wp14:editId="7DFCD26A">
            <wp:extent cx="400050" cy="200025"/>
            <wp:effectExtent l="0" t="0" r="0" b="9525"/>
            <wp:docPr id="69" name="Рисунок 69" descr="https://base.garant.ru/files/base/4188851/2365508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base.garant.ru/files/base/4188851/2365508243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6866EF1" wp14:editId="624A47E5">
            <wp:extent cx="400050" cy="200025"/>
            <wp:effectExtent l="0" t="0" r="0" b="9525"/>
            <wp:docPr id="70" name="Рисунок 70" descr="https://base.garant.ru/files/base/4188851/7771048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base.garant.ru/files/base/4188851/777104809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E5AE30D" wp14:editId="701D1657">
            <wp:extent cx="390525" cy="200025"/>
            <wp:effectExtent l="0" t="0" r="9525" b="9525"/>
            <wp:docPr id="71" name="Рисунок 71" descr="https://base.garant.ru/files/base/4188851/3984634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base.garant.ru/files/base/4188851/3984634481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(в зонах наблюдения радиационных объектов I и II категории по потенциальной опасности) определение удельной активности этих радионуклидов в воде является обязательным.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Для минеральных и лечебных вод устанавливаются специальные нормативы.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5.3.6. Удельная активность природных радионуклидов в минеральных удобрениях и агрохимикатах не должна превышать: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FC538D8" wp14:editId="7EC046B9">
            <wp:extent cx="1247775" cy="238125"/>
            <wp:effectExtent l="0" t="0" r="9525" b="9525"/>
            <wp:docPr id="72" name="Рисунок 72" descr="https://base.garant.ru/files/base/4188851/762534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base.garant.ru/files/base/4188851/762534469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кБк/кг,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где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C22AF79" wp14:editId="4E8469C5">
            <wp:extent cx="247650" cy="238125"/>
            <wp:effectExtent l="0" t="0" r="0" b="9525"/>
            <wp:docPr id="73" name="Рисунок 73" descr="https://base.garant.ru/files/base/4188851/3272277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base.garant.ru/files/base/4188851/3272277316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9B2C2A5" wp14:editId="7163855C">
            <wp:extent cx="295275" cy="238125"/>
            <wp:effectExtent l="0" t="0" r="9525" b="9525"/>
            <wp:docPr id="74" name="Рисунок 74" descr="https://base.garant.ru/files/base/4188851/917917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base.garant.ru/files/base/4188851/917917176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- удельные активности урана-238 (радия-226) и тория-232 (тория-228), находящихся в радиоактивном равновесии с остальными членами уранового и ториевого рядов, соответственно.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Допустимое содержание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9E2205D" wp14:editId="0B1DC66B">
            <wp:extent cx="285750" cy="200025"/>
            <wp:effectExtent l="0" t="0" r="0" b="9525"/>
            <wp:docPr id="75" name="Рисунок 75" descr="https://base.garant.ru/files/base/4188851/297622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base.garant.ru/files/base/4188851/297622141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в минеральных удобрениях и агрохимикатах не устанавливается. При обращении с материалами, содержащими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3006342" wp14:editId="7701D4AD">
            <wp:extent cx="285750" cy="200025"/>
            <wp:effectExtent l="0" t="0" r="0" b="9525"/>
            <wp:docPr id="76" name="Рисунок 76" descr="https://base.garant.ru/files/base/4188851/297622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base.garant.ru/files/base/4188851/297622141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должны соблюдаться требования по ограничению облучения населения за счет природных источников излучения, установленные в </w:t>
      </w:r>
      <w:hyperlink r:id="rId90" w:anchor="block_104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п. 4.1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hyperlink r:id="rId91" w:anchor="block_1042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п. 4.2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5.4. Ограничение медицинского облучения</w:t>
      </w:r>
    </w:p>
    <w:p w:rsidR="00A116D8" w:rsidRPr="00A116D8" w:rsidRDefault="00A116D8" w:rsidP="00A116D8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О порядке применения НРБ-99/2009 при надзоре за установками рентгеновского сканирования людей см. </w:t>
      </w:r>
      <w:hyperlink r:id="rId92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информационное письмо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Роспотребнадзора от 4 марта 2011 г. N 01/2400-1-32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5.4.1. Радиационная защита пациентов при медицинском облучении должна быть основана на необходимости получения полезной диагностической информации и/или терапевтического эффекта от соответствующих медицинских процедур при наименьших возможных уровнях облучения</w:t>
      </w:r>
      <w:hyperlink r:id="rId93" w:anchor="block_10222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**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 При этом не устанавливаются пределы доз для пациентов, но применяются принципы обоснования назначения медицинских процедур и оптимизации защиты пациентов.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5.4.2. Проведение медицинских процедур, связанных с облучением пациентов, должно быть обосновано путем сопоставления диагностических или терапевтических выгод, которые они приносят, с радиационным ущербом для здоровья, который может причинить облучение, принимая во внимание имеющиеся альтернативные методы, не связанные с медицинским облучением.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5.4.3. Перед проведением диагностической или терапевтической процедуры, связанной с облучением женщины детородного возраста, необходимо определить, не является ли она беременной или кормящей матерью. Беременная или кормящая женщина, а также родители детей-пациентов должны быть информированы врачом о пользе планируемой процедуры и о связанном с ней радиационном риске для эмбриона/плода, новорожденных и детей младшего возраста для принятия сознательного решения о проведении процедуры или отказе от нее.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5.4.4. При проведении обоснованных медицинских рентгенорадиологических обследований в связи с профессиональной деятельностью или в рамках медико-юридических процедур, а также рентгенорадиологических профилактических медицинских и научных исследований практически здоровых лиц, не получающих прямой пользы для своего здоровья от процедур, связанных с облучением, годовая эффективная доза не должна превышать 1 мЗв.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5.4.5. Лица (не персонал рентгенорадиологических отделений), оказывающие помощь в поддержке пациентов (тяжелобольных, детей и др.) при выполнении рентгенорадиологических процедур, не должны подвергаться облучению в дозе, превышающей 5 мЗв в год. Такие же требования предъявляются к радиационной безопасности взрослых лиц, проживающих вместе с пациентами, прошедшими курс радионуклидной терапии или брахитерапии с имплантацией закрытых источников и выписанными из клиники. Для остальных взрослых лиц, а также для детей, контактирующих с пациентами, выписанными из клиники после радионуклидной терапии или брахитерапии, предел дозы составляет 1 мЗв в год.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5.4.6. Пациенты, проходящие курс радионуклидной терапии или брахитерапии с имплантацией закрытых источников, могут быть выписаны из клиники при условии, что уровень гамма- и рентгеновского излучения, испускаемого из тела, удовлетворяет требованиям </w:t>
      </w:r>
      <w:hyperlink r:id="rId94" w:anchor="block_1545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п. 5.4.5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 Выписка пациента после терапии радионуклидами, указанными в </w:t>
      </w:r>
      <w:hyperlink r:id="rId95" w:anchor="block_5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таблице 5.1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допускается, если введенная или остаточная активность радионуклидов в теле или измеренная мощность дозы в воздухе вблизи тела пациента ниже соответствующих значений, приведенных в этой таблице. Перед выпиской пациентам следует дать письменные и устные инструкции относительно мер предосторожности, которые они должны принимать с тем, чтобы защитить от облучения членов семьи и других лиц, с которыми они могут вступать в контакт. Такие же требования предъявляются к режиму амбулаторного лечения пациентов.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5.4.7. В случае смерти пациента, проходившего курс радионуклидной терапии или брахитерапии с имплантацией закрытых источников, патологоанатомическое исследование и кремация тела разрешается только после того, как остаточная активность в нем или мощность дозы уменьшится до уровня, удовлетворяющего требованиям </w:t>
      </w:r>
      <w:hyperlink r:id="rId96" w:anchor="block_1545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п. 5.4.5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 В случае смерти пациента, в организме которого находится кардиостимулятор с радионуклидным источником энергии, кремация тела осуществляется только после удаления источника.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5.1.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Активность радионуклидов в теле взрослого пациента (ГБк) после радионуклидной терапии или брахитерапии с имплантацией закрытых источников и мощность эквивалентной дозы (мкЗв/ч) на расстоянии 1 м от поверхности тела, при которых разрешается выписка пациента из клиники</w:t>
      </w:r>
      <w:hyperlink r:id="rId97" w:anchor="block_51111" w:history="1">
        <w:r w:rsidRPr="00A116D8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</w:rPr>
          <w:t>*</w:t>
        </w:r>
      </w:hyperlink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134"/>
        <w:gridCol w:w="2406"/>
        <w:gridCol w:w="3269"/>
      </w:tblGrid>
      <w:tr w:rsidR="00A116D8" w:rsidRPr="00A116D8" w:rsidTr="00A116D8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Радионуклид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Период полураспада, сут</w:t>
            </w:r>
          </w:p>
        </w:tc>
        <w:tc>
          <w:tcPr>
            <w:tcW w:w="2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Активность в теле, ГБк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Мощность дозы, мкЗв/ч</w:t>
            </w:r>
          </w:p>
        </w:tc>
      </w:tr>
      <w:tr w:rsidR="00A116D8" w:rsidRPr="00A116D8" w:rsidTr="00A116D8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(125)I</w:t>
            </w:r>
            <w:hyperlink r:id="rId98" w:anchor="block_51222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**</w:t>
              </w:r>
            </w:hyperlink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60,1</w:t>
            </w:r>
          </w:p>
        </w:tc>
        <w:tc>
          <w:tcPr>
            <w:tcW w:w="2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</w:tr>
      <w:tr w:rsidR="00A116D8" w:rsidRPr="00A116D8" w:rsidTr="00A116D8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(131)I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</w:t>
            </w:r>
          </w:p>
        </w:tc>
        <w:tc>
          <w:tcPr>
            <w:tcW w:w="2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</w:t>
            </w:r>
          </w:p>
        </w:tc>
      </w:tr>
      <w:tr w:rsidR="00A116D8" w:rsidRPr="00A116D8" w:rsidTr="00A116D8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(153)Sm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</w:t>
            </w:r>
          </w:p>
        </w:tc>
        <w:tc>
          <w:tcPr>
            <w:tcW w:w="2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100</w:t>
            </w:r>
          </w:p>
        </w:tc>
      </w:tr>
      <w:tr w:rsidR="00A116D8" w:rsidRPr="00A116D8" w:rsidTr="00A116D8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(188)Re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0,7</w:t>
            </w:r>
          </w:p>
        </w:tc>
        <w:tc>
          <w:tcPr>
            <w:tcW w:w="2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80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 В случае многократного лечения в течение года активность в теле и мощность дозы в </w:t>
      </w:r>
      <w:hyperlink r:id="rId99" w:anchor="block_5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5.1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должны быть уменьшены в число раз, равное числу курсов лечения за год.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** В составе имплантантов для брахитерапии предстательной железы.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5.4.8. При планировании и проведении процедур, связанных с облучением ионизирующим излучением, в учреждениях здравоохранения должны определяться и регистрироваться в установленном порядке дозы у всех лиц, подвергающихся медицинскому облучению.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VI. Требования по ограничению облучения населения в условиях радиационной аварии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6.1. В случае возникновения аварии должны быть приняты практические меры для восстановления контроля над источником излучения и сведения к минимуму доз облучения, количества облученных лиц, радиоактивного загрязнения окружающей среды, экономических и социальных потерь, вызванных радиоактивным загрязнением.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6.2. При радиационной аварии или обнаружении радиоактивного загрязнения ограничение облучения осуществляется защитными мероприятиями, применимыми, как правило, к окружающей среде и (или) к человеку. Эти мероприятия могут приводить к нарушению нормальной жизнедеятельности населения, хозяйственного и социального функционирования территории. При планировании защитных мероприятий необходимо обеспечивать максимально возможное превышение пользы от снижения дозы облучения над ущербом, связанным с проведением этих мероприятий.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Если предполагаемая доза излучения за короткий срок (2 суток) достигает уровней, при превышении которых возможны детерминированные эффекты (</w:t>
      </w:r>
      <w:hyperlink r:id="rId100" w:anchor="block_6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6.1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), необходимо срочное вмешательство (меры защиты).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6.1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Прогнозируемые уровни облучения, при которых необходимо срочное вмешательство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3953"/>
      </w:tblGrid>
      <w:tr w:rsidR="00A116D8" w:rsidRPr="00A116D8" w:rsidTr="00A116D8"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Орган или ткань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Поглощенная доза в органе или ткани за 2 суток, Гр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Все тело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Кожа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Щитовидная железа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Хрусталик глаза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Гонады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Плод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6.3. При хроническом облучении в течение жизни защитные мероприятия становятся обязательными, если годовые поглощенные дозы превышают значения, приведенные в </w:t>
      </w:r>
      <w:hyperlink r:id="rId101" w:anchor="block_62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таблице 6.2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 Превышение этих доз приводит к серьезным детерминированным эффектам.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lastRenderedPageBreak/>
        <w:t>Таблица 6.2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Уровни вмешательства при хроническом облучении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3953"/>
      </w:tblGrid>
      <w:tr w:rsidR="00A116D8" w:rsidRPr="00A116D8" w:rsidTr="00A116D8"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Орган или ткань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Годовая поглощенная доза, Гр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Гонады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Хрусталик глаза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</w:t>
            </w:r>
          </w:p>
        </w:tc>
      </w:tr>
      <w:tr w:rsidR="00A116D8" w:rsidRPr="00A116D8" w:rsidTr="00A116D8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 костный мозг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6.4. Уровни вмешательства для временного отселения населения составляют: для начала временного отселения - 30 мЗв в месяц, для окончания временного отселения 10 мЗв в месяц. Если прогнозируется, что накопленная за один месяц доза будет находиться выше указанных уровней в течение года, следует решать вопрос об отселении населения на постоянное место жительства.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6.5. При проведении противорадиационных вмешательств пределы доз (</w:t>
      </w:r>
      <w:hyperlink r:id="rId102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не применяются. При планировании защитных мероприятий на случай радиационной аварии федеральным органом исполнительной власти, уполномоченным осуществлять государственный санитарно-эпидемиологический надзор, территориальными подразделениями федеральных органов исполнительной власти, осуществляющих государственный санитарно-эпидемиологический надзор, устанавливаются уровни вмешательства (дозы и мощности доз облучения, уровни радиоактивного загрязнения) применительно к конкретному радиационному объекту и условиям его размещения с учетом вероятных типов аварии, сценариев развития аварийной ситуации и складывающейся радиационной обстановки.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6.6. При аварии, повлекшей за собой радиоактивное загрязнение обширной территории, на основании контроля и прогноза радиационной обстановки устанавливается зона радиационной аварии. В зоне радиационной аварии проводится контроль радиационной обстановки и осуществляются мероприятия по снижению уровней облучения населения на основе изложенных в </w:t>
      </w:r>
      <w:hyperlink r:id="rId103" w:anchor="block_106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п.п. 6.1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; </w:t>
      </w:r>
      <w:hyperlink r:id="rId104" w:anchor="block_1062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6.2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; </w:t>
      </w:r>
      <w:hyperlink r:id="rId105" w:anchor="block_1064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6.4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принципов и подходов.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6.7. Принятие решений о мерах защиты населения в случае крупной радиационной аварии с радиоактивным загрязнением территории проводится на основании сравнения прогнозируемой дозы, предотвращаемой защитным мероприятием, и уровней загрязнения с уровнями А и Б, приведенными в </w:t>
      </w:r>
      <w:hyperlink r:id="rId106" w:anchor="block_63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6.3 - 6.5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6.3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Критерии для принятия неотложных решений в начальном периоде радиационной аварии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1901"/>
        <w:gridCol w:w="1946"/>
        <w:gridCol w:w="1735"/>
        <w:gridCol w:w="2293"/>
      </w:tblGrid>
      <w:tr w:rsidR="00A116D8" w:rsidRPr="00A116D8" w:rsidTr="00A116D8"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Меры защиты</w:t>
            </w:r>
          </w:p>
        </w:tc>
        <w:tc>
          <w:tcPr>
            <w:tcW w:w="78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Предотвращаемая доза за первые 10 суток, мГр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на все тело</w:t>
            </w:r>
          </w:p>
        </w:tc>
        <w:tc>
          <w:tcPr>
            <w:tcW w:w="3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щитовидная железа, легкие, кожа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уровень А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уровень Б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уровень А</w:t>
            </w:r>
          </w:p>
        </w:tc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уровень Б</w:t>
            </w:r>
          </w:p>
        </w:tc>
      </w:tr>
      <w:tr w:rsidR="00A116D8" w:rsidRPr="00A116D8" w:rsidTr="00A116D8"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Укрытие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</w:t>
            </w:r>
          </w:p>
        </w:tc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500</w:t>
            </w:r>
          </w:p>
        </w:tc>
      </w:tr>
      <w:tr w:rsidR="00A116D8" w:rsidRPr="00A116D8" w:rsidTr="00A116D8"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Йодная профилактика: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6D8" w:rsidRPr="00A116D8" w:rsidTr="00A116D8"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250</w:t>
            </w:r>
            <w:hyperlink r:id="rId107" w:anchor="block_63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</w:p>
        </w:tc>
        <w:tc>
          <w:tcPr>
            <w:tcW w:w="22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2500</w:t>
            </w:r>
            <w:hyperlink r:id="rId108" w:anchor="block_63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</w:p>
        </w:tc>
      </w:tr>
      <w:tr w:rsidR="00A116D8" w:rsidRPr="00A116D8" w:rsidTr="00A116D8"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100</w:t>
            </w:r>
            <w:hyperlink r:id="rId109" w:anchor="block_63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</w:p>
        </w:tc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1000</w:t>
            </w:r>
            <w:hyperlink r:id="rId110" w:anchor="block_63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</w:p>
        </w:tc>
      </w:tr>
      <w:tr w:rsidR="00A116D8" w:rsidRPr="00A116D8" w:rsidTr="00A116D8"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500</w:t>
            </w:r>
          </w:p>
        </w:tc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5000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 Только для щитовидной железы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6.4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Критерии для принятия решений об отселении и ограничении потребления загрязненных пищевых продуктов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3410"/>
        <w:gridCol w:w="3425"/>
      </w:tblGrid>
      <w:tr w:rsidR="00A116D8" w:rsidRPr="00A116D8" w:rsidTr="00A116D8"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Меры защиты</w:t>
            </w:r>
          </w:p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Предотвращаемая эффективная доза, мЗв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уровень А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уровень Б</w:t>
            </w:r>
          </w:p>
        </w:tc>
      </w:tr>
      <w:tr w:rsidR="00A116D8" w:rsidRPr="00A116D8" w:rsidTr="00A116D8">
        <w:tc>
          <w:tcPr>
            <w:tcW w:w="33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потребления</w:t>
            </w:r>
          </w:p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загрязненных пищевых продуктов и питьевой воды</w:t>
            </w:r>
          </w:p>
        </w:tc>
        <w:tc>
          <w:tcPr>
            <w:tcW w:w="33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5 за первый год</w:t>
            </w:r>
          </w:p>
        </w:tc>
        <w:tc>
          <w:tcPr>
            <w:tcW w:w="33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50 за первый год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1 /год в последующие годы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10 /год в последующие годы</w:t>
            </w:r>
          </w:p>
        </w:tc>
      </w:tr>
      <w:tr w:rsidR="00A116D8" w:rsidRPr="00A116D8" w:rsidTr="00A116D8">
        <w:tc>
          <w:tcPr>
            <w:tcW w:w="33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Отселение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50 за первый год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500 за первый год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1000 за все время отселения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Если уровень облучения, предотвращаемого защитным мероприятием, не превосходит уровень А, нет необходимости в выполнении мер защиты, связанных с нарушением нормальной жизнедеятельности населения, а также хозяйственного и социального функционирования территории.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6.5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Критерии для принятия решений об ограничении потребления загрязненных продуктов питания в первый год после возникновения аварии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802"/>
        <w:gridCol w:w="2878"/>
      </w:tblGrid>
      <w:tr w:rsidR="00A116D8" w:rsidRPr="00A116D8" w:rsidTr="00A116D8">
        <w:tc>
          <w:tcPr>
            <w:tcW w:w="4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Радионуклиды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Удельная активность радионуклида в пищевых продуктах, кБк/кг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уровень А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уровень Б</w:t>
            </w:r>
          </w:p>
        </w:tc>
      </w:tr>
      <w:tr w:rsidR="00A116D8" w:rsidRPr="00A116D8" w:rsidTr="00A116D8">
        <w:tc>
          <w:tcPr>
            <w:tcW w:w="4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(131)I, (134)Cs, (137)Cs</w:t>
            </w: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</w:tr>
      <w:tr w:rsidR="00A116D8" w:rsidRPr="00A116D8" w:rsidTr="00A116D8">
        <w:tc>
          <w:tcPr>
            <w:tcW w:w="4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(90)Sr</w:t>
            </w: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</w:t>
            </w:r>
          </w:p>
        </w:tc>
      </w:tr>
      <w:tr w:rsidR="00A116D8" w:rsidRPr="00A116D8" w:rsidTr="00A116D8">
        <w:tc>
          <w:tcPr>
            <w:tcW w:w="4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sz w:val="24"/>
                <w:szCs w:val="24"/>
              </w:rPr>
              <w:t>(238)Pu, (239)Pu, (241)Am</w:t>
            </w: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Если предотвращаемое защитным мероприятием облучение превосходит уровень А, но не достигает уровня Б, решение о выполнении мер защиты принимается по принципам обоснования и оптимизации с учетом конкретной обстановки и местных условий.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Если уровень облучения, предотвращаемого защитным мероприятием, достигает и превосходит уровень Б, необходимо выполнение соответствующих мер защиты, даже если они связаны с нарушением нормальной жизнедеятельности населения, хозяйственного и социального функционирования территории.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6.8. На поздних стадиях радиационной аварии, повлекшей за собой загрязнение обширных территорий долгоживущими радионуклидами, решения о защитных мероприятиях принимаются с учетом сложившейся радиационной обстановки и конкретных социально-экономических условий.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VII. Требования к контролю за выполнением Норм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7.1. Радиационный контроль является важнейшей частью обеспечения радиационной безопасности и конкретный перечень видов и объем контроля включается в проект радиационного объекта. Он имеет целью определение степени соблюдения принципов радиационной безопасности и требований нормативов, включая непревышение установленных основных пределов доз и допустимых уровней при нормальной работе, получение необходимой информации для оптимизации защиты и принятия решений о вмешательстве в случае радиационных аварий, загрязнения местности и зданий радионуклидами, а также на территориях и в зданиях с повышенным уровнем природного облучения. Радиационный контроль осуществляется за всеми источниками излучения, кроме приведенных в </w:t>
      </w:r>
      <w:hyperlink r:id="rId111" w:anchor="block_1014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п. 1.4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Норм.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7.2. Радиационному контролю подлежат: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радиационные характеристики источников излучения, выбросов в атмосферу, жидких и твердых радиоактивных отходов;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радиационные факторы, создаваемые технологическим процессом на рабочих местах и в окружающей среде;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радиационные факторы на загрязненных территориях и в зданиях с повышенным уровнем природного облучения;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уровни облучения персонала и населения от всех источников излучения, на которые распространяется действие настоящих Норм.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7.3. Основными контролируемыми параметрами являются: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годовая эффективная и эквивалентная дозы (см. </w:t>
      </w:r>
      <w:hyperlink r:id="rId112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поступление радионуклидов в организм и их содержание в организме для оценки годового поступления;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объемная или удельная активность радионуклидов в воздухе, воде, пищевых продуктах, строительных материалах и др.;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радиоактивное загрязнение кожных покровов, одежды, обуви, рабочих поверхностей;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- доза и мощность дозы внешнего облучения;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плотность потока частиц и фотонов.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Переход от измеряемых величин к нормируемым определяется методическими указаниями по проведению соответствующих видов радиационного контроля.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7.4. С целью оперативного контроля для всех контролируемых параметров по </w:t>
      </w:r>
      <w:hyperlink r:id="rId113" w:anchor="block_1073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п. 7.3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устанавливаются контрольные уровни. Значение этих уровней устанавливается таким образом, чтобы было гарантировано непревышение основных пределов доз и реализация принципа снижения уровней облучения до возможно низкого уровня.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При этом учитывается облучение от всех подлежащих контролю источников излучения, достигнутый уровень защищенности, возможность его дальнейшего снижения с учетом требований принципа оптимизации. Обнаруженное превышение контрольных уровней является основанием для выяснения причин этого превышения и разработки мероприятий по его устранению.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7.5. Контроль и учет индивидуальных доз облучения, полученных гражданами при использовании источников ионизирующего излучения, проведении медицинских рентгенорадиологических процедур, а также обусловленных естественным радиационным и техногенно измененным радиационным фоном, осуществляются в рамках единой государственной системы контроля и учета индивидуальных доз облучения (ЕСКИД).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7.6. При планировании и проведении мероприятий по обеспечению радиационной безопасности, принятии решений в области обеспечения радиационной безопасности, анализе эффективности указанных мероприятий органами государственной власти, органами местного самоуправления, а также организациями, осуществляющими деятельность с использованием источников ионизирующего излучения, проводится оценка радиационной безопасности по следующим основным показателям: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характеристика радиоактивного загрязнения окружающей среды;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анализ обеспечения мероприятий по радиационной безопасности и выполнения норм, правил и гигиенических нормативов в области радиационной безопасности;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вероятность радиационных аварий и их масштаб;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степень готовности к эффективной ликвидации радиационных аварий и их последствий;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анализ доз облучения, получаемых отдельными группами населения от всех источников ионизирующего излучения;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число лиц, подвергшихся облучению выше установленных пределов доз облучения.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VIII. Значения допустимых уровней радиационного воздействия в нормальных условиях эксплуатации источников ионизирующего излучения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8.1. Для каждой категории облучаемых лиц значение допустимого уровня радиационного воздействия для данного пути облучения определено таким образом, чтобы при таком уровне воздействия только 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одного данного фактора облучения в течение года значение дозы равнялось соответствующему годовому пределу (усредненному за пять лет), указанному в </w:t>
      </w:r>
      <w:hyperlink r:id="rId114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таблице 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В таблицах и приложениях запись вида 1,6-12 означает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0EC9BCA" wp14:editId="4D0F14C3">
            <wp:extent cx="781050" cy="276225"/>
            <wp:effectExtent l="0" t="0" r="0" b="9525"/>
            <wp:docPr id="77" name="Рисунок 77" descr="https://base.garant.ru/files/base/4188851/1436266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base.garant.ru/files/base/4188851/1436266386.png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а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02172CC" wp14:editId="1D9842D6">
            <wp:extent cx="1428750" cy="276225"/>
            <wp:effectExtent l="0" t="0" r="0" b="9525"/>
            <wp:docPr id="78" name="Рисунок 78" descr="https://base.garant.ru/files/base/4188851/2259694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base.garant.ru/files/base/4188851/2259694917.pn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8.2. Значения допустимых уровней для всех путей облучения определены для стандартных условий, которые характеризуются следующими параметрами: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объемом вдыхаемого воздуха V, с которым радионуклид поступает в организм на протяжении календарного года;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временем облучения t в течение календарного года;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массой питьевой воды М, с которой радионуклид поступает в организм на протяжении календарного года;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геометрией внешнего облучения потоками ионизирующего излучения.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Для персонала установлены следующие значения стандартных параметров: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E3DAA7E" wp14:editId="54664F51">
            <wp:extent cx="1076325" cy="295275"/>
            <wp:effectExtent l="0" t="0" r="9525" b="9525"/>
            <wp:docPr id="79" name="Рисунок 79" descr="https://base.garant.ru/files/base/4188851/934092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ase.garant.ru/files/base/4188851/934092552.png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куб.м в год;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EC267F6" wp14:editId="3862F307">
            <wp:extent cx="790575" cy="238125"/>
            <wp:effectExtent l="0" t="0" r="9525" b="9525"/>
            <wp:docPr id="80" name="Рисунок 80" descr="https://base.garant.ru/files/base/4188851/6698818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base.garant.ru/files/base/4188851/669881860.png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ч в год;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31B1578" wp14:editId="03A0B2D5">
            <wp:extent cx="628650" cy="238125"/>
            <wp:effectExtent l="0" t="0" r="0" b="9525"/>
            <wp:docPr id="81" name="Рисунок 81" descr="https://base.garant.ru/files/base/4188851/37533455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base.garant.ru/files/base/4188851/3753345566.png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Для населения установлены следующие значения стандартных параметров: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11372EA" wp14:editId="40AB19BD">
            <wp:extent cx="723900" cy="238125"/>
            <wp:effectExtent l="0" t="0" r="0" b="9525"/>
            <wp:docPr id="82" name="Рисунок 82" descr="https://base.garant.ru/files/base/4188851/1135517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base.garant.ru/files/base/4188851/1135517950.pn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ч в год;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22C3813" wp14:editId="537DA1D6">
            <wp:extent cx="733425" cy="238125"/>
            <wp:effectExtent l="0" t="0" r="9525" b="9525"/>
            <wp:docPr id="83" name="Рисунок 83" descr="https://base.garant.ru/files/base/4188851/3674759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base.garant.ru/files/base/4188851/3674759698.png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кг в год для взрослых. Годовой объем вдыхаемого воздуха установлен в зависимости от возраста: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8.1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Годовой объем вдыхаемого воздуха для разных возрастных групп населения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022"/>
        <w:gridCol w:w="1144"/>
        <w:gridCol w:w="1555"/>
        <w:gridCol w:w="1128"/>
        <w:gridCol w:w="1281"/>
        <w:gridCol w:w="1906"/>
      </w:tblGrid>
      <w:tr w:rsidR="00A116D8" w:rsidRPr="00A116D8" w:rsidTr="00A116D8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Возраст, лет</w:t>
            </w: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до 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1-2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2-7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7-12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12-17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Взрослые (старше 17 лет)</w:t>
            </w:r>
          </w:p>
        </w:tc>
      </w:tr>
      <w:tr w:rsidR="00A116D8" w:rsidRPr="00A116D8" w:rsidTr="00A116D8">
        <w:tc>
          <w:tcPr>
            <w:tcW w:w="2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V, тыс.куб.м в год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1,9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5,2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8,1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8.3. Для целей нормирования поступления радионуклидов через органы дыхания в форме радиоактивных аэрозолей их химические соединения разделены на три типа в зависимости от скорости перехода радионуклида из легких в кровь: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тип "М" (медленно растворимые соединения): при растворении в легких веществ, отнесенных к этому типу, наблюдается компонента активности радионуклида, поступающая в кровь со скоростью 0,0001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5700C2A" wp14:editId="4CC0929E">
            <wp:extent cx="428625" cy="276225"/>
            <wp:effectExtent l="0" t="0" r="0" b="9525"/>
            <wp:docPr id="84" name="Рисунок 84" descr="https://base.garant.ru/files/base/4188851/1225881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base.garant.ru/files/base/4188851/1225881850.png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- тип "П" (соединения, растворимые с промежуточной скоростью): при растворении в легких веществ, отнесенных к этому типу, основная активность радионуклида поступает в кровь со скоростью 0,005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68F95B4" wp14:editId="4A1A2201">
            <wp:extent cx="428625" cy="276225"/>
            <wp:effectExtent l="0" t="0" r="0" b="9525"/>
            <wp:docPr id="85" name="Рисунок 85" descr="https://base.garant.ru/files/base/4188851/1225881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base.garant.ru/files/base/4188851/1225881850.png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;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- тип "Б" (быстро растворимые соединения): при растворении в легких веществ, отнесенных к этому типу, основная активность радионуклида поступает в кровь со скоростью 100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D6EEA31" wp14:editId="31373423">
            <wp:extent cx="428625" cy="276225"/>
            <wp:effectExtent l="0" t="0" r="0" b="9525"/>
            <wp:docPr id="86" name="Рисунок 86" descr="https://base.garant.ru/files/base/4188851/1225881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base.garant.ru/files/base/4188851/1225881850.png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Для целей нормирования поступления радионуклидов через органы дыхания в форме радиоактивных газов выделены типы "Г" (Г1-Г3) газов и паров соединений некоторых элементов.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Распределение соединений элементов по типам при ингаляции в производственных условиях приведено в </w:t>
      </w:r>
      <w:hyperlink r:id="rId123" w:anchor="block_3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Приложении 3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8.4. Приведенные в </w:t>
      </w:r>
      <w:hyperlink r:id="rId124" w:anchor="block_1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Приложениях 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hyperlink r:id="rId125" w:anchor="block_2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2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значения дозовых коэффициентов, а также величин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31B1E6F" wp14:editId="300BA2CD">
            <wp:extent cx="590550" cy="238125"/>
            <wp:effectExtent l="0" t="0" r="0" b="9525"/>
            <wp:docPr id="87" name="Рисунок 87" descr="https://base.garant.ru/files/base/4188851/1941931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base.garant.ru/files/base/4188851/1941931573.png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26B70D9" wp14:editId="6E1208AC">
            <wp:extent cx="523875" cy="238125"/>
            <wp:effectExtent l="0" t="0" r="9525" b="9525"/>
            <wp:docPr id="88" name="Рисунок 88" descr="https://base.garant.ru/files/base/4188851/375923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base.garant.ru/files/base/4188851/3759232974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ED51DA9" wp14:editId="0FC3B3A0">
            <wp:extent cx="609600" cy="238125"/>
            <wp:effectExtent l="0" t="0" r="0" b="9525"/>
            <wp:docPr id="89" name="Рисунок 89" descr="https://base.garant.ru/files/base/4188851/343761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base.garant.ru/files/base/4188851/3437615107.png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0DF945D" wp14:editId="2D75699C">
            <wp:extent cx="542925" cy="238125"/>
            <wp:effectExtent l="0" t="0" r="9525" b="9525"/>
            <wp:docPr id="90" name="Рисунок 90" descr="https://base.garant.ru/files/base/4188851/3666261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base.garant.ru/files/base/4188851/3666261636.png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 для воздуха рассчитаны для аэрозолей с логарифмически нормальным распределением частиц по активности при медианном по активности аэродинамическом диаметре 1 мкм и стандартном геометрическом отклонении, равном 2,5. В расчетах использована модель органов дыхания, рекомендованная Публикацией 66 МКРЗ.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8.5. В </w:t>
      </w:r>
      <w:hyperlink r:id="rId130" w:anchor="block_1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Приложении 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для персонала для случая поступления радионуклидов с вдыхаемым воздухом приведены значения дозового коэффициента, допустимого годового поступления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C4BA7EC" wp14:editId="617FE917">
            <wp:extent cx="590550" cy="238125"/>
            <wp:effectExtent l="0" t="0" r="0" b="9525"/>
            <wp:docPr id="91" name="Рисунок 91" descr="https://base.garant.ru/files/base/4188851/1941931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base.garant.ru/files/base/4188851/1941931573.png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допустимой среднегодовой объемной активности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D75F78F" wp14:editId="4115D72F">
            <wp:extent cx="609600" cy="238125"/>
            <wp:effectExtent l="0" t="0" r="0" b="9525"/>
            <wp:docPr id="92" name="Рисунок 92" descr="https://base.garant.ru/files/base/4188851/343761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base.garant.ru/files/base/4188851/3437615107.png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 В Приложение 1 не входят инертные газы, поскольку они являются источниками внешнего облучения, а также изотопы радона с продуктами их распада (см. </w:t>
      </w:r>
      <w:hyperlink r:id="rId131" w:anchor="block_14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разделы 4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hyperlink r:id="rId132" w:anchor="block_15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5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). Природные радионуклиды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1A6CEDE" wp14:editId="75408976">
            <wp:extent cx="342900" cy="200025"/>
            <wp:effectExtent l="0" t="0" r="0" b="9525"/>
            <wp:docPr id="93" name="Рисунок 93" descr="https://base.garant.ru/files/base/4188851/3022840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base.garant.ru/files/base/4188851/3022840096.png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75ACAAD" wp14:editId="06FBA3FD">
            <wp:extent cx="361950" cy="200025"/>
            <wp:effectExtent l="0" t="0" r="0" b="9525"/>
            <wp:docPr id="94" name="Рисунок 94" descr="https://base.garant.ru/files/base/4188851/3921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base.garant.ru/files/base/4188851/39214940.png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11E393F" wp14:editId="170EA32E">
            <wp:extent cx="409575" cy="200025"/>
            <wp:effectExtent l="0" t="0" r="9525" b="9525"/>
            <wp:docPr id="95" name="Рисунок 95" descr="https://base.garant.ru/files/base/4188851/792744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base.garant.ru/files/base/4188851/792744568.png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F870892" wp14:editId="30D8A751">
            <wp:extent cx="419100" cy="200025"/>
            <wp:effectExtent l="0" t="0" r="0" b="9525"/>
            <wp:docPr id="96" name="Рисунок 96" descr="https://base.garant.ru/files/base/4188851/344923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base.garant.ru/files/base/4188851/344923703.png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A60850E" wp14:editId="527DF34F">
            <wp:extent cx="390525" cy="200025"/>
            <wp:effectExtent l="0" t="0" r="9525" b="9525"/>
            <wp:docPr id="97" name="Рисунок 97" descr="https://base.garant.ru/files/base/4188851/2938189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base.garant.ru/files/base/4188851/2938189747.png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не включены в таблицу, поскольку они нормируются по их химической токсичности. Из-за химической токсичности урана поступление через органы дыхания его соединений типов Б или П не должно превышать 2,5 мг в сутки и 500 мг в год.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Если химическая форма соединения данного радионуклида неизвестна, то следует использовать данные из </w:t>
      </w:r>
      <w:hyperlink r:id="rId138" w:anchor="block_1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Приложения 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для соединения с наибольшим значением величины дозового коэффициента и, соответственно, наименьшими значениями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3DD56E3" wp14:editId="1F5906CE">
            <wp:extent cx="590550" cy="238125"/>
            <wp:effectExtent l="0" t="0" r="0" b="9525"/>
            <wp:docPr id="98" name="Рисунок 98" descr="https://base.garant.ru/files/base/4188851/1941931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base.garant.ru/files/base/4188851/1941931573.png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D5AEC0D" wp14:editId="6E6B2A29">
            <wp:extent cx="609600" cy="238125"/>
            <wp:effectExtent l="0" t="0" r="0" b="9525"/>
            <wp:docPr id="99" name="Рисунок 99" descr="https://base.garant.ru/files/base/4188851/343761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base.garant.ru/files/base/4188851/3437615107.png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8.6. В </w:t>
      </w:r>
      <w:hyperlink r:id="rId139" w:anchor="block_2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Приложении 2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для населения приведены: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а) для случая поступления радионуклидов с вдыхаемым воздухом - критическая возрастная группа, а также значения дозового коэффициента и предела годового поступления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41E814C" wp14:editId="648A488D">
            <wp:extent cx="523875" cy="238125"/>
            <wp:effectExtent l="0" t="0" r="9525" b="9525"/>
            <wp:docPr id="100" name="Рисунок 100" descr="https://base.garant.ru/files/base/4188851/375923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base.garant.ru/files/base/4188851/3759232974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для этой же возрастной группы и типа соединений, для которых допустимая среднегодовая объемная активность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152FA87" wp14:editId="267EC22C">
            <wp:extent cx="542925" cy="238125"/>
            <wp:effectExtent l="0" t="0" r="9525" b="9525"/>
            <wp:docPr id="101" name="Рисунок 101" descr="https://base.garant.ru/files/base/4188851/3666261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base.garant.ru/files/base/4188851/3666261636.png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оказалась наименьшей;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б) для случая поступления радионуклидов с пищей - критическая возрастная группа</w:t>
      </w:r>
      <w:hyperlink r:id="rId140" w:anchor="block_10333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***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группа, значения дозового коэффициента и предела годового поступления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1761F68B" wp14:editId="5D64A40E">
            <wp:extent cx="523875" cy="238125"/>
            <wp:effectExtent l="0" t="0" r="9525" b="9525"/>
            <wp:docPr id="102" name="Рисунок 102" descr="https://base.garant.ru/files/base/4188851/375923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base.garant.ru/files/base/4188851/3759232974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для этой же группы, где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43C02BF" wp14:editId="40B1AED6">
            <wp:extent cx="523875" cy="238125"/>
            <wp:effectExtent l="0" t="0" r="9525" b="9525"/>
            <wp:docPr id="103" name="Рисунок 103" descr="https://base.garant.ru/files/base/4188851/375923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base.garant.ru/files/base/4188851/3759232974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наименьшее. Уровни вмешательства для радионуклидов в продуктах питания не приводятся и должны определяться по специальным методическим указаниям с учетом местных особенностей внутреннего и внешнего облучения населения - см. </w:t>
      </w:r>
      <w:hyperlink r:id="rId141" w:anchor="block_1524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п. 5.2.4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для обеспечения непревышения основных пределов доз (</w:t>
      </w:r>
      <w:hyperlink r:id="rId142" w:anchor="block_31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3.1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в нормальных условиях эксплуатации техногенных источников и критериев </w:t>
      </w:r>
      <w:hyperlink r:id="rId143" w:anchor="block_64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таблиц 6.4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 </w:t>
      </w:r>
      <w:hyperlink r:id="rId144" w:anchor="block_65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6.5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при аварийном облучении населения.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В </w:t>
      </w:r>
      <w:hyperlink r:id="rId145" w:anchor="block_21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Приложении 2а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для населения приведены значения дозовых коэффициентов и уровни вмешательства при поступлении радионуклидов в организм взрослых людей с питьевой водой.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8.7. В </w:t>
      </w:r>
      <w:hyperlink r:id="rId146" w:anchor="block_82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таблицах 8.2 - 8.8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приведены числовые значения среднегодовых допустимых плотностей потоков частиц при внешнем облучении всего тела, кожи и хрусталика глаза лиц из персонала моноэнергетическими электронами (</w:t>
      </w:r>
      <w:hyperlink r:id="rId147" w:anchor="block_82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8.2-8.3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), бета-частицами (</w:t>
      </w:r>
      <w:hyperlink r:id="rId148" w:anchor="block_84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8.4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), моноэнергетическими фотонами (</w:t>
      </w:r>
      <w:hyperlink r:id="rId149" w:anchor="block_85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8.5-8.7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и моноэнергетическими нейтронами (</w:t>
      </w:r>
      <w:hyperlink r:id="rId150" w:anchor="block_88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табл. 8.8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). Значения среднегодовых допустимых плотностей потоков частиц даны для широкого диапазона энергий излучения и двух наиболее вероятных геометрий облучения: изотропного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D422178" wp14:editId="2E07C792">
            <wp:extent cx="219075" cy="200025"/>
            <wp:effectExtent l="0" t="0" r="9525" b="9525"/>
            <wp:docPr id="104" name="Рисунок 104" descr="https://base.garant.ru/files/base/4188851/4146207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base.garant.ru/files/base/4188851/4146207389.pn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или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D0AC864" wp14:editId="31F0BD92">
            <wp:extent cx="219075" cy="200025"/>
            <wp:effectExtent l="0" t="0" r="9525" b="9525"/>
            <wp:docPr id="105" name="Рисунок 105" descr="https://base.garant.ru/files/base/4188851/58356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base.garant.ru/files/base/4188851/583562548.pn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поля излучения и падения параллельного пучка излучения на тело спереди (передне-задняя геометрия).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8.8. В </w:t>
      </w:r>
      <w:hyperlink r:id="rId153" w:anchor="block_89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таблице 8.9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приведены значения допустимого радиоактивного загрязнения поверхностей рабочих помещений и находящегося в них оборудования, кожных покровов, спецодежды, спецобуви и других средств индивидуальной защиты персонала. Для кожных покровов, спецодежды, спецобуви и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Уровни общего радиоактивного загрязнения кожных покровов определены с учетом проникновения доли радионуклида в кожу и в организм. Расчет проведен в предположении, что общая площадь загрязнения не должна превосходить 300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1B68F54" wp14:editId="554A4A23">
            <wp:extent cx="285750" cy="257175"/>
            <wp:effectExtent l="0" t="0" r="0" b="9525"/>
            <wp:docPr id="106" name="Рисунок 106" descr="https://base.garant.ru/files/base/4188851/4050488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base.garant.ru/files/base/4188851/405048805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8.9. В </w:t>
      </w:r>
      <w:hyperlink r:id="rId154" w:anchor="block_81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таблице 8.10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приведены допустимые уровни снимаемого радиоактивного загрязнения поверхности транспортных средств, используемых для перевозки радиоактивных веществ и материалов.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8.10. Минимально значимые удельная активность (МЗУА) и активность радионуклидов в помещении или на рабочем месте (МЗА) приведены в </w:t>
      </w:r>
      <w:hyperlink r:id="rId155" w:anchor="block_40000" w:history="1">
        <w:r w:rsidRPr="00A116D8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Приложении 4</w:t>
        </w:r>
      </w:hyperlink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8.2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Значения эквивалентной дозы и среднегодовые допустимые плотности потока моноэнергетических электронов для лиц из персонала при облучении кожи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149"/>
        <w:gridCol w:w="1801"/>
        <w:gridCol w:w="1725"/>
        <w:gridCol w:w="1967"/>
      </w:tblGrid>
      <w:tr w:rsidR="00A116D8" w:rsidRPr="00A116D8" w:rsidTr="00A116D8"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Энергия электронов, МэВ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Эквивалентная доза в коже на единичный флюенс,</w:t>
            </w:r>
          </w:p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10(-10) Зв х см2</w:t>
            </w:r>
          </w:p>
        </w:tc>
        <w:tc>
          <w:tcPr>
            <w:tcW w:w="3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Среднегодовая допустимая плотность потока ДПП_перс, см(-2) х с(-1)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56" w:anchor="block_82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57" w:anchor="block_82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58" w:anchor="block_82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59" w:anchor="block_82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0,07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2,2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2700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370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5,7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16,6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5,6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8,3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4,6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190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180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0,70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3,7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3,4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220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240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3,5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3,1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230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260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290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2,7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300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2,7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300</w:t>
            </w:r>
          </w:p>
        </w:tc>
      </w:tr>
      <w:tr w:rsidR="00A116D8" w:rsidRPr="00A116D8" w:rsidTr="00A116D8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10,0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2,7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300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>* ИЗО - изотропное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3A54BAD" wp14:editId="23D0B8BB">
            <wp:extent cx="219075" cy="200025"/>
            <wp:effectExtent l="0" t="0" r="9525" b="9525"/>
            <wp:docPr id="107" name="Рисунок 107" descr="https://base.garant.ru/files/base/4188851/4146207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base.garant.ru/files/base/4188851/4146207389.pn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поле излучения, ПЗ - облучение параллельным пучком в передне-задней геометрии.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8.3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Значения эквивалентной дозы и среднегодовые допустимые плотности потока моноэнергетических электронов для лиц из персонала при облучении хрусталиков глаз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1949"/>
        <w:gridCol w:w="1813"/>
        <w:gridCol w:w="1828"/>
        <w:gridCol w:w="2025"/>
      </w:tblGrid>
      <w:tr w:rsidR="00A116D8" w:rsidRPr="00A116D8" w:rsidTr="00A116D8"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Энергия электронов, МэВ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Эквивалентная доза в хрусталике на единичный флюенс, 10(-10) Зв х см2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Среднегодовая допустимая плотность потока ДПП_перс, см(-2) х с(-1)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60" w:anchor="block_83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61" w:anchor="block_83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62" w:anchor="block_83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63" w:anchor="block_83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</w:tr>
      <w:tr w:rsidR="00A116D8" w:rsidRPr="00A116D8" w:rsidTr="00A116D8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0,80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0,45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3100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540</w:t>
            </w:r>
          </w:p>
        </w:tc>
      </w:tr>
      <w:tr w:rsidR="00A116D8" w:rsidRPr="00A116D8" w:rsidTr="00A116D8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0,75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330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80</w:t>
            </w:r>
          </w:p>
        </w:tc>
      </w:tr>
      <w:tr w:rsidR="00A116D8" w:rsidRPr="00A116D8" w:rsidTr="00A116D8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5,2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</w:t>
            </w:r>
          </w:p>
        </w:tc>
      </w:tr>
      <w:tr w:rsidR="00A116D8" w:rsidRPr="00A116D8" w:rsidTr="00A116D8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4,8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</w:t>
            </w:r>
          </w:p>
        </w:tc>
      </w:tr>
      <w:tr w:rsidR="00A116D8" w:rsidRPr="00A116D8" w:rsidTr="00A116D8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3,3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75</w:t>
            </w:r>
          </w:p>
        </w:tc>
      </w:tr>
      <w:tr w:rsidR="00A116D8" w:rsidRPr="00A116D8" w:rsidTr="00A116D8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3,1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80</w:t>
            </w:r>
          </w:p>
        </w:tc>
      </w:tr>
      <w:tr w:rsidR="00A116D8" w:rsidRPr="00A116D8" w:rsidTr="00A116D8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10,0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80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 ИЗО - изотропное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755149B" wp14:editId="67E6890F">
            <wp:extent cx="219075" cy="200025"/>
            <wp:effectExtent l="0" t="0" r="9525" b="9525"/>
            <wp:docPr id="108" name="Рисунок 108" descr="https://base.garant.ru/files/base/4188851/4146207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base.garant.ru/files/base/4188851/4146207389.pn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поле излучения, ПЗ - облучение параллельным пучком в передне-задней геометрии.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Флюенс частиц Ф - отношение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66041FE0" wp14:editId="3B58814C">
            <wp:extent cx="485775" cy="200025"/>
            <wp:effectExtent l="0" t="0" r="9525" b="9525"/>
            <wp:docPr id="109" name="Рисунок 109" descr="https://base.garant.ru/files/base/4188851/2012009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base.garant.ru/files/base/4188851/2012009324.png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где dN - количество частиц, падающих на сферу с площадью поперечного сечения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747BC9A" wp14:editId="00DB6A2A">
            <wp:extent cx="219075" cy="200025"/>
            <wp:effectExtent l="0" t="0" r="9525" b="9525"/>
            <wp:docPr id="110" name="Рисунок 110" descr="https://base.garant.ru/files/base/4188851/4243128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base.garant.ru/files/base/4188851/4243128653.png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61B2CD3" wp14:editId="52800522">
            <wp:extent cx="742950" cy="200025"/>
            <wp:effectExtent l="0" t="0" r="0" b="9525"/>
            <wp:docPr id="111" name="Рисунок 111" descr="https://base.garant.ru/files/base/4188851/3148097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base.garant.ru/files/base/4188851/3148097814.png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B935C10" wp14:editId="4CFC44F3">
            <wp:extent cx="314325" cy="276225"/>
            <wp:effectExtent l="0" t="0" r="0" b="9525"/>
            <wp:docPr id="112" name="Рисунок 112" descr="https://base.garant.ru/files/base/4188851/1188942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base.garant.ru/files/base/4188851/1188942303.png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Плотность потока частиц n - отношение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F3FC19B" wp14:editId="2FC022A6">
            <wp:extent cx="800100" cy="219075"/>
            <wp:effectExtent l="0" t="0" r="0" b="9525"/>
            <wp:docPr id="113" name="Рисунок 113" descr="https://base.garant.ru/files/base/4188851/1542959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base.garant.ru/files/base/4188851/1542959653.png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, где dN - количество частиц, падающих на сферу с площадью поперечного сечения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BF33173" wp14:editId="22A28C00">
            <wp:extent cx="219075" cy="200025"/>
            <wp:effectExtent l="0" t="0" r="9525" b="9525"/>
            <wp:docPr id="114" name="Рисунок 114" descr="https://base.garant.ru/files/base/4188851/4243128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base.garant.ru/files/base/4188851/4243128653.png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за интервал времени dt: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2BBCCFF6" wp14:editId="4008EEA0">
            <wp:extent cx="1676400" cy="285750"/>
            <wp:effectExtent l="0" t="0" r="0" b="0"/>
            <wp:docPr id="115" name="Рисунок 115" descr="https://base.garant.ru/files/base/4188851/3770071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base.garant.ru/files/base/4188851/3770071614.png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lastRenderedPageBreak/>
        <w:t>Таблица 8.4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Значения эквивалентной дозы и среднегодовые допустимые плотности потока бета-частиц для лиц из персонала при контактном облучении кожи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3425"/>
        <w:gridCol w:w="3395"/>
      </w:tblGrid>
      <w:tr w:rsidR="00A116D8" w:rsidRPr="00A116D8" w:rsidTr="00A116D8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Средняя энергия бета-спектра, МэВ</w:t>
            </w:r>
          </w:p>
        </w:tc>
        <w:tc>
          <w:tcPr>
            <w:tcW w:w="3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Эквивалентная доза в коже на единичный флюенс, 10(-10) Зв х см2</w:t>
            </w:r>
          </w:p>
        </w:tc>
        <w:tc>
          <w:tcPr>
            <w:tcW w:w="33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Среднегодовая допустимая плотность потока ДПП_перс, см(-2) х с(-1)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0,05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820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0,07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450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2,6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310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0,15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3,4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240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3,8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215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0,30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190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4,5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180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0,50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4,6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180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0,70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4,8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170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165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160</w:t>
            </w:r>
          </w:p>
        </w:tc>
      </w:tr>
      <w:tr w:rsidR="00A116D8" w:rsidRPr="00A116D8" w:rsidTr="00A116D8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5,3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155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8.5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Значения эффективной дозы и среднегодовые допустимые плотности потока моноэнергетических фотонов для лиц из персонала при внешнем облучении всего тела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1934"/>
        <w:gridCol w:w="2025"/>
        <w:gridCol w:w="2040"/>
        <w:gridCol w:w="1980"/>
      </w:tblGrid>
      <w:tr w:rsidR="00A116D8" w:rsidRPr="00A116D8" w:rsidTr="00A116D8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Энергия фотонов, МэВ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Эффективная доза на единичный флюенс, 10(-12) Зв х см2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Среднегодовая допустимая плотность потока, ДПП_перс, см(-2) х с(-1)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0" w:anchor="block_85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1" w:anchor="block_85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2" w:anchor="block_85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3" w:anchor="block_85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0,0201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0,0485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1,63+05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6,77+04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0,0384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0,125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8,73+04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2,62+04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0,0608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0,205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5,41+04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1,62+04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0,103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0,300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3,24+04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1,08+04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0,140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0,338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2,31+04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9,65+03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5,0-2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0,165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0,357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1,99+04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9,12+03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0,186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0,378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1,77+04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8,63+03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0,230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0,440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1,42+04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7,44+03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0,278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0,517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1,18+04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6,33+03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0,419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0,752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7,79+03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4,33+03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0,581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5,61+03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3,28+03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0,916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3,54+03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2,17+03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1,26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2,59+03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1,63+03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1,61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2,47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2,02+03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1,32+03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1,94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2,91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1,69+03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1,12+03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2,59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3,73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1,26+03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8,73+02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3,21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4,48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1,01+03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7,33+02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5,84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7,49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5,63+02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4,38+02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9,97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12,0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3,28+02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2,73+02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13,6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16,0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2,38+02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2,05+02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17,3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19,9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1,89+02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1,64+02</w:t>
            </w:r>
          </w:p>
        </w:tc>
      </w:tr>
      <w:tr w:rsidR="00A116D8" w:rsidRPr="00A116D8" w:rsidTr="00A116D8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20,8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23,8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1,56+02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1,38+02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 ИЗО - изотропное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582D947" wp14:editId="3E3D9A11">
            <wp:extent cx="219075" cy="200025"/>
            <wp:effectExtent l="0" t="0" r="9525" b="9525"/>
            <wp:docPr id="116" name="Рисунок 116" descr="https://base.garant.ru/files/base/4188851/58356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base.garant.ru/files/base/4188851/583562548.pn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поле излучения, ПЗ - облучение параллельным пучком в передне-задней геометрии.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8.6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Значения эквивалентной дозы и среднегодовые допустимые плотности потока моноэнергетических фотонов для лиц из персонала при облучении кожи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883"/>
        <w:gridCol w:w="1905"/>
        <w:gridCol w:w="1929"/>
        <w:gridCol w:w="1887"/>
        <w:gridCol w:w="450"/>
      </w:tblGrid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Энергия фотонов, МэВ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Эквивалентная доза в коже на единичный флюенс, 10(-12) Зв х см2</w:t>
            </w:r>
          </w:p>
        </w:tc>
        <w:tc>
          <w:tcPr>
            <w:tcW w:w="3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Среднегодовая допустимая плотность потока ДПП_перс см(-2) х с(-1)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4" w:anchor="block_86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5" w:anchor="block_86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6" w:anchor="block_86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7" w:anchor="block_86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6,17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7,06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1,31+04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1,16+04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2,0-2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1,66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1,76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4,96+04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4,63+04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3,0-2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0,822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0,880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1,00+05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9,25+04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5,0-2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0,462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0,494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1,81+05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1,63+05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1,0-1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0,549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0,575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1,50+05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1,42+05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0,827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0,851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9,74+04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9,74+04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1,79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4,53+04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4,53+04</w:t>
            </w:r>
          </w:p>
        </w:tc>
      </w:tr>
      <w:tr w:rsidR="00A116D8" w:rsidRPr="00A116D8" w:rsidTr="00A116D8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2,38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3,38+04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3,38+04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2,93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2,93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2,80+04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2,80+04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3,44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3,44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2,40+04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2,40+04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1,88+04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1,88+04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5,23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5,23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1,55+04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1,55+04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8,61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8,61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9,57+03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9,57+03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13,6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13,6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6,08+03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6,08+03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17,9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17,9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4,57+03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4,57+03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22,3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22,3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3,66+03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3,66+03</w:t>
            </w:r>
          </w:p>
        </w:tc>
      </w:tr>
      <w:tr w:rsidR="00A116D8" w:rsidRPr="00A116D8" w:rsidTr="00A116D8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26,4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26,4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3,13+03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3,13+03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 ИЗО - изотропное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7D62228" wp14:editId="14DA1AFE">
            <wp:extent cx="219075" cy="200025"/>
            <wp:effectExtent l="0" t="0" r="9525" b="9525"/>
            <wp:docPr id="117" name="Рисунок 117" descr="https://base.garant.ru/files/base/4188851/4146207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base.garant.ru/files/base/4188851/4146207389.pn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поле излучения, ПЗ - облучение параллельным пучком в передне-задней геометрии.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8.7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Значения эквивалентной дозы и среднегодовые допустимые плотности потока моноэнергетических фотонов для лиц из персонала при облучении хрусталиков глаз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1740"/>
        <w:gridCol w:w="2043"/>
        <w:gridCol w:w="1907"/>
        <w:gridCol w:w="2013"/>
      </w:tblGrid>
      <w:tr w:rsidR="00A116D8" w:rsidRPr="00A116D8" w:rsidTr="00A116D8"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Энергия фотонов, МэВ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Эквивалентная доза в хрусталике на единичный флюенс, 10(-12) Зв х см2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Среднегодовая допустимая плотность потока ДПП_перс см(-2) х с(-1)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8" w:anchor="block_87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79" w:anchor="block_87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80" w:anchor="block_87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81" w:anchor="block_87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0,669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2,23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3,66+04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1,08+04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0,749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3,29+04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1,16+04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0,622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3,97+04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1,60+04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0,375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0,865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6,55+04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2,85+04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0,275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0,571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9,07+04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4,27+04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0,239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0,459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1,03+05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5,33+04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0,234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0,431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1,06+05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5,67+04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8,0-2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0,264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0,476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9,05+04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5,16+04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0,326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0,568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7,26+04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4,34+04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0,545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0,857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4,59+04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2,88+04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0,762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3,31+04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2,11+04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1,77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2,09+04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1,39+04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1,54+04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1,06+04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1,24+04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8,64+03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3,32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1,04+04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7,34+03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3,10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4,21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7,90+03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5,87+03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3,76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4,96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6,53+03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4,91+03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6,64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7,93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3,68+03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3,09+03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11,1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12,1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2,20+03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2,00+03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15,1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15,6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1,62+03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1,57+03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19,1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19,1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1,29+03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1,29+03</w:t>
            </w:r>
          </w:p>
        </w:tc>
      </w:tr>
      <w:tr w:rsidR="00A116D8" w:rsidRPr="00A116D8" w:rsidTr="00A116D8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23,0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22,3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1,06+03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1,10+03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 ИЗО - изотропное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CE91633" wp14:editId="0163BC1C">
            <wp:extent cx="219075" cy="200025"/>
            <wp:effectExtent l="0" t="0" r="9525" b="9525"/>
            <wp:docPr id="118" name="Рисунок 118" descr="https://base.garant.ru/files/base/4188851/58356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base.garant.ru/files/base/4188851/583562548.pn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поле излучения, ПЗ - облучение параллельным пучком в передне-задней геометрии.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8.8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Значения эффективной дозы и среднегодовые допустимые плотности потока моноэнергетических нейтронов для лиц из персонала при внешнем облучении всего тела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1662"/>
        <w:gridCol w:w="2070"/>
        <w:gridCol w:w="1919"/>
        <w:gridCol w:w="1995"/>
      </w:tblGrid>
      <w:tr w:rsidR="00A116D8" w:rsidRPr="00A116D8" w:rsidTr="00A116D8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Энергия нейтронов, МэВ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Эффективная доза на единичный флюенс, 10(-12) Зв х см2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Среднегодовая допустимая плотность потока, ДПП_перс, см(-2) х с(-1)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82" w:anchor="block_88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83" w:anchor="block_88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84" w:anchor="block_88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ИЗО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hyperlink r:id="rId185" w:anchor="block_88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ПЗ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тепловые нейтроны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3,30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7,60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9,90+2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4,30+2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1,0-7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4,13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9,95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7,91+2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3,28+2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1,0-6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5,63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1,38+1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5,80+2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2,37+2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1,0-5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6,44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1,51+1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5,07+2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2,16+2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6,45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1,46+1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5,07+2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2,24+2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1,0-3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6,04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1,42+1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5,41+2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2,30+2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7,70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1,83+1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4,24+2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1,79+2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2,0-2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1,02+1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2,38+1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3,20+2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1,37+2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5,0-2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1,73+1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3,85+1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1,89+2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8,49+1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1,0-1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2,72+1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5,98+1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1,20+2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5,46+1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2,0-1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4,24+1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9,90+1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7,71+1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3,30+1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5,0-1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7,50+1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1,88+2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4,36+1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1,74+1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1,16+2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2,82+2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2,82+1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1,16+1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1,30+2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3,10+2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2,51+1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1,05+1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1,78+2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3,83+2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1,84+1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8,53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2,20+2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4,32+2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1,49+1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7,56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2,50+2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4,58+2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1,31+1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7,13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2,72+2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4,74+2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1,20+1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6,89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2,82+2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4,83+2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1,16+1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6,76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2,90+2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4,90+2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1,13+1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6,67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2,97+2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4,94+2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1,10+1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6,61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3,09+2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4,99+2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1,06+1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6,55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3,33+2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4,96+2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9,81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6,59</w:t>
            </w:r>
          </w:p>
        </w:tc>
      </w:tr>
      <w:tr w:rsidR="00A116D8" w:rsidRPr="00A116D8" w:rsidTr="00A116D8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3,43+2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4,80+2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9,52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6,81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 ИЗО - изотропное (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50568CF" wp14:editId="04BD029C">
            <wp:extent cx="219075" cy="200025"/>
            <wp:effectExtent l="0" t="0" r="9525" b="9525"/>
            <wp:docPr id="119" name="Рисунок 119" descr="https://base.garant.ru/files/base/4188851/58356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base.garant.ru/files/base/4188851/583562548.pn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) поле излучения, ПЗ - облучение параллельным пучком в передне-задней геометрии.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8.9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Допустимые уровни радиоактивного загрязнения поверхностей рабочих помещений и находящегося в них оборудования, кожных покровов, спецодежды, спецобуви и других средств индивидуальной защиты персонала, </w:t>
      </w:r>
      <w:r w:rsidRPr="00A116D8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</w:rPr>
        <w:drawing>
          <wp:inline distT="0" distB="0" distL="0" distR="0" wp14:anchorId="4B92B593" wp14:editId="33BFE3A8">
            <wp:extent cx="1133475" cy="276225"/>
            <wp:effectExtent l="0" t="0" r="0" b="9525"/>
            <wp:docPr id="120" name="Рисунок 120" descr="https://base.garant.ru/files/base/4188851/2111052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base.garant.ru/files/base/4188851/2111052647.png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1675"/>
        <w:gridCol w:w="1735"/>
        <w:gridCol w:w="2188"/>
      </w:tblGrid>
      <w:tr w:rsidR="00A116D8" w:rsidRPr="00A116D8" w:rsidTr="00A116D8">
        <w:tc>
          <w:tcPr>
            <w:tcW w:w="45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Объект загрязнения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Альфа-активные нуклиды</w:t>
            </w:r>
            <w:hyperlink r:id="rId187" w:anchor="block_89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</w:p>
        </w:tc>
        <w:tc>
          <w:tcPr>
            <w:tcW w:w="217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Бета-активные нуклиды</w:t>
            </w:r>
            <w:hyperlink r:id="rId188" w:anchor="block_89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отдельные</w:t>
            </w:r>
            <w:hyperlink r:id="rId189" w:anchor="block_89222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**</w:t>
              </w:r>
            </w:hyperlink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прочие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</w:tr>
      <w:tr w:rsidR="00A116D8" w:rsidRPr="00A116D8" w:rsidTr="00A116D8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Неповрежденная кожа, спецбелье, полотенца, внутренняя поверхность 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лицевых частей средств индивидуальной защиты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200</w:t>
            </w:r>
            <w:hyperlink r:id="rId190" w:anchor="block_89333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***</w:t>
              </w:r>
            </w:hyperlink>
          </w:p>
        </w:tc>
      </w:tr>
      <w:tr w:rsidR="00A116D8" w:rsidRPr="00A116D8" w:rsidTr="00A116D8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Основная спецодежда, внутренняя поверхность дополнительных средств индивидуальной защиты, наружная поверхность спецобуви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2000</w:t>
            </w:r>
          </w:p>
        </w:tc>
      </w:tr>
      <w:tr w:rsidR="00A116D8" w:rsidRPr="00A116D8" w:rsidTr="00A116D8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Поверхности помещений постоянного пребывания персонала и находящегося в них оборудования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2000</w:t>
            </w:r>
          </w:p>
        </w:tc>
      </w:tr>
      <w:tr w:rsidR="00A116D8" w:rsidRPr="00A116D8" w:rsidTr="00A116D8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Поверхности помещений периодического пребывания персонала и находящегося в них оборудования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200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10000</w:t>
            </w:r>
          </w:p>
        </w:tc>
      </w:tr>
      <w:tr w:rsidR="00A116D8" w:rsidRPr="00A116D8" w:rsidTr="00A116D8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Наружная поверхность дополнительных средств индивидуальной защиты, снимаемых в саншлюзах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200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10000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Примечания: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 Для кожных покровов, спецодежды, спецобуви и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** К отдельным относятся альфа-активные нуклиды, среднегодовая допустимая объемная активность которых в воздухе рабочих помещений ДОА &lt; 0,3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64CA337" wp14:editId="0E8BB6C3">
            <wp:extent cx="466725" cy="257175"/>
            <wp:effectExtent l="0" t="0" r="9525" b="9525"/>
            <wp:docPr id="121" name="Рисунок 121" descr="https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*** для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551E5483" wp14:editId="55EB4675">
            <wp:extent cx="314325" cy="200025"/>
            <wp:effectExtent l="0" t="0" r="9525" b="9525"/>
            <wp:docPr id="122" name="Рисунок 122" descr="https://base.garant.ru/files/base/4188851/371697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base.garant.ru/files/base/4188851/371697085.png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+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079D1623" wp14:editId="5E832ECC">
            <wp:extent cx="266700" cy="200025"/>
            <wp:effectExtent l="0" t="0" r="0" b="9525"/>
            <wp:docPr id="123" name="Рисунок 123" descr="https://base.garant.ru/files/base/4188851/3666702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base.garant.ru/files/base/4188851/3666702820.png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- 40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066E973" wp14:editId="04265995">
            <wp:extent cx="1133475" cy="276225"/>
            <wp:effectExtent l="0" t="0" r="0" b="9525"/>
            <wp:docPr id="124" name="Рисунок 124" descr="https://base.garant.ru/files/base/4188851/3490854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base.garant.ru/files/base/4188851/3490854158.png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Таблица 8.10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A116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Допустимые уровни снимаемого радиоактивного загрязнения поверхности транспортных средств, используемых для перевозки радиоактивных веществ и материалов, </w:t>
      </w:r>
      <w:r w:rsidRPr="00A116D8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</w:rPr>
        <w:drawing>
          <wp:inline distT="0" distB="0" distL="0" distR="0" wp14:anchorId="7716A51C" wp14:editId="12A734C1">
            <wp:extent cx="1133475" cy="276225"/>
            <wp:effectExtent l="0" t="0" r="0" b="9525"/>
            <wp:docPr id="125" name="Рисунок 125" descr="https://base.garant.ru/files/base/4188851/2111052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base.garant.ru/files/base/4188851/2111052647.png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1675"/>
        <w:gridCol w:w="1675"/>
        <w:gridCol w:w="2218"/>
        <w:gridCol w:w="1811"/>
      </w:tblGrid>
      <w:tr w:rsidR="00A116D8" w:rsidRPr="00A116D8" w:rsidTr="00A116D8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Объект загрязнения</w:t>
            </w:r>
          </w:p>
        </w:tc>
        <w:tc>
          <w:tcPr>
            <w:tcW w:w="73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Вид загрязнения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Снимаемое (нефиксированное)</w:t>
            </w:r>
          </w:p>
        </w:tc>
        <w:tc>
          <w:tcPr>
            <w:tcW w:w="39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Неснимаемое (фиксированное)</w:t>
            </w:r>
          </w:p>
        </w:tc>
      </w:tr>
      <w:tr w:rsidR="00A116D8" w:rsidRPr="00A116D8" w:rsidTr="00A116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16D8" w:rsidRPr="00A116D8" w:rsidRDefault="00A116D8" w:rsidP="00A1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альфа-активные радионуклиды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бета-активные радионуклиды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альфа-активные радионуклиды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бета-активные радионуклиды</w:t>
            </w:r>
          </w:p>
        </w:tc>
      </w:tr>
      <w:tr w:rsidR="00A116D8" w:rsidRPr="00A116D8" w:rsidTr="00A116D8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Наружная поверхность транспортного средства </w:t>
            </w: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и охранной тары контейнера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Не регламентируется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200</w:t>
            </w:r>
            <w:hyperlink r:id="rId194" w:anchor="block_810111" w:history="1">
              <w:r w:rsidRPr="00A116D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</w:p>
        </w:tc>
      </w:tr>
      <w:tr w:rsidR="00A116D8" w:rsidRPr="00A116D8" w:rsidTr="00A116D8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Внутренняя поверхность охранной тары и наружная поверхность транспортного контейнера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Не регламентируется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6D8" w:rsidRPr="00A116D8" w:rsidRDefault="00A116D8" w:rsidP="00A116D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A116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2000</w:t>
            </w:r>
          </w:p>
        </w:tc>
      </w:tr>
    </w:tbl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* для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3AC91630" wp14:editId="1048E346">
            <wp:extent cx="314325" cy="200025"/>
            <wp:effectExtent l="0" t="0" r="9525" b="9525"/>
            <wp:docPr id="126" name="Рисунок 126" descr="https://base.garant.ru/files/base/4188851/371697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base.garant.ru/files/base/4188851/371697085.png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+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4F650262" wp14:editId="001DD505">
            <wp:extent cx="266700" cy="200025"/>
            <wp:effectExtent l="0" t="0" r="0" b="9525"/>
            <wp:docPr id="127" name="Рисунок 127" descr="https://base.garant.ru/files/base/4188851/3666702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base.garant.ru/files/base/4188851/3666702820.png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- 40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noProof/>
          <w:color w:val="464C55"/>
          <w:sz w:val="24"/>
          <w:szCs w:val="24"/>
        </w:rPr>
        <w:drawing>
          <wp:inline distT="0" distB="0" distL="0" distR="0" wp14:anchorId="7119465C" wp14:editId="1E17468B">
            <wp:extent cx="1133475" cy="276225"/>
            <wp:effectExtent l="0" t="0" r="0" b="9525"/>
            <wp:docPr id="128" name="Рисунок 128" descr="https://base.garant.ru/files/base/4188851/3490854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base.garant.ru/files/base/4188851/3490854158.png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  <w:t>______________________________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* Собрание законодательства Российской Федерации, 1996, 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3, ст.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141; 2004, 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35, ст.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3607; 2008, 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30 (ч.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2), ст.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3616.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** Для лучевой терапии это требование относится к здоровым, не намеренно облучаемым, органам и тканям.</w:t>
      </w:r>
    </w:p>
    <w:p w:rsidR="00A116D8" w:rsidRPr="00A116D8" w:rsidRDefault="00A116D8" w:rsidP="00A116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*** Поступление радионуклидов с пищей не рассматривается у детей в возрасте менее 1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A116D8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года, поскольку они питаются преимущественно грудным молоком.</w:t>
      </w:r>
    </w:p>
    <w:p w:rsidR="00A116D8" w:rsidRPr="00A116D8" w:rsidRDefault="00A116D8" w:rsidP="00A11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A116D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A116D8" w:rsidRPr="00A116D8" w:rsidRDefault="00A116D8" w:rsidP="00A116D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hyperlink r:id="rId195" w:history="1"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Приложение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</w:rPr>
          <w:t> 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1. Значения дозовых коэффициентов, предела годового поступления с воздухом и допустимой среднегодовой объемной активности в воздухе отдельных радионуклидов для персонала</w:t>
        </w:r>
      </w:hyperlink>
    </w:p>
    <w:p w:rsidR="00A116D8" w:rsidRPr="00A116D8" w:rsidRDefault="00A116D8" w:rsidP="00A116D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hyperlink r:id="rId196" w:history="1"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Приложение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</w:rPr>
          <w:t> 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2. Значения дозовых коэффици</w:t>
        </w:r>
        <w:bookmarkStart w:id="0" w:name="_GoBack"/>
        <w:bookmarkEnd w:id="0"/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</w:t>
        </w:r>
      </w:hyperlink>
    </w:p>
    <w:p w:rsidR="00A116D8" w:rsidRPr="00A116D8" w:rsidRDefault="00A116D8" w:rsidP="00A116D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hyperlink r:id="rId197" w:history="1"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Приложение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</w:rPr>
          <w:t> 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2а. Значения дозовых коэффициентов * 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</w:t>
        </w:r>
      </w:hyperlink>
    </w:p>
    <w:p w:rsidR="00A116D8" w:rsidRPr="00A116D8" w:rsidRDefault="00A116D8" w:rsidP="00A116D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hyperlink r:id="rId198" w:history="1"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Приложение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</w:rPr>
          <w:t> 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3. Распределение соединений элементов по типам при ингаляции</w:t>
        </w:r>
      </w:hyperlink>
    </w:p>
    <w:p w:rsidR="00A116D8" w:rsidRPr="00A116D8" w:rsidRDefault="00A116D8" w:rsidP="00A116D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hyperlink r:id="rId199" w:history="1"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Приложение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</w:rPr>
          <w:t> </w:t>
        </w:r>
        <w:r w:rsidRPr="00A116D8">
          <w:rPr>
            <w:rFonts w:ascii="Times New Roman" w:eastAsia="Times New Roman" w:hAnsi="Times New Roman" w:cs="Times New Roman"/>
            <w:color w:val="22272F"/>
            <w:sz w:val="23"/>
            <w:szCs w:val="23"/>
            <w:lang w:val="ru-RU"/>
          </w:rPr>
          <w:t>4. Минимально значимые удельная активность радионуклидов (МЗУА) и активность радионуклидов в помещении или на рабочем месте (МЗА)</w:t>
        </w:r>
      </w:hyperlink>
    </w:p>
    <w:p w:rsidR="0037315E" w:rsidRPr="00A116D8" w:rsidRDefault="0037315E">
      <w:pPr>
        <w:rPr>
          <w:lang w:val="ru-RU"/>
        </w:rPr>
      </w:pPr>
    </w:p>
    <w:sectPr w:rsidR="0037315E" w:rsidRPr="00A116D8" w:rsidSect="00A116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25D"/>
    <w:multiLevelType w:val="multilevel"/>
    <w:tmpl w:val="F69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19"/>
    <w:rsid w:val="0009506A"/>
    <w:rsid w:val="0037315E"/>
    <w:rsid w:val="003D2EAD"/>
    <w:rsid w:val="00480A19"/>
    <w:rsid w:val="00A116D8"/>
    <w:rsid w:val="00D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16F86-7096-4F1D-8A04-81DA1C51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16D8"/>
  </w:style>
  <w:style w:type="paragraph" w:customStyle="1" w:styleId="s3">
    <w:name w:val="s_3"/>
    <w:basedOn w:val="a"/>
    <w:rsid w:val="00A1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116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16D8"/>
    <w:rPr>
      <w:color w:val="800080"/>
      <w:u w:val="single"/>
    </w:rPr>
  </w:style>
  <w:style w:type="paragraph" w:customStyle="1" w:styleId="s9">
    <w:name w:val="s_9"/>
    <w:basedOn w:val="a"/>
    <w:rsid w:val="00A1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1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A1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A1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1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9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8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573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3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png"/><Relationship Id="rId21" Type="http://schemas.openxmlformats.org/officeDocument/2006/relationships/hyperlink" Target="https://base.garant.ru/4188851/53f89421bbdaf741eb2d1ecc4ddb4c33/" TargetMode="External"/><Relationship Id="rId42" Type="http://schemas.openxmlformats.org/officeDocument/2006/relationships/image" Target="media/image23.png"/><Relationship Id="rId63" Type="http://schemas.openxmlformats.org/officeDocument/2006/relationships/image" Target="media/image36.png"/><Relationship Id="rId84" Type="http://schemas.openxmlformats.org/officeDocument/2006/relationships/image" Target="media/image56.png"/><Relationship Id="rId138" Type="http://schemas.openxmlformats.org/officeDocument/2006/relationships/hyperlink" Target="https://base.garant.ru/4188851/b89690251be5277812a78962f6302560/" TargetMode="External"/><Relationship Id="rId159" Type="http://schemas.openxmlformats.org/officeDocument/2006/relationships/hyperlink" Target="https://base.garant.ru/4188851/53f89421bbdaf741eb2d1ecc4ddb4c33/" TargetMode="External"/><Relationship Id="rId170" Type="http://schemas.openxmlformats.org/officeDocument/2006/relationships/hyperlink" Target="https://base.garant.ru/4188851/53f89421bbdaf741eb2d1ecc4ddb4c33/" TargetMode="External"/><Relationship Id="rId191" Type="http://schemas.openxmlformats.org/officeDocument/2006/relationships/image" Target="media/image88.png"/><Relationship Id="rId196" Type="http://schemas.openxmlformats.org/officeDocument/2006/relationships/hyperlink" Target="https://base.garant.ru/4188851/62ca3c9a93aac147338fa0b3dccb5683/" TargetMode="External"/><Relationship Id="rId200" Type="http://schemas.openxmlformats.org/officeDocument/2006/relationships/fontTable" Target="fontTable.xml"/><Relationship Id="rId16" Type="http://schemas.openxmlformats.org/officeDocument/2006/relationships/image" Target="media/image6.png"/><Relationship Id="rId107" Type="http://schemas.openxmlformats.org/officeDocument/2006/relationships/hyperlink" Target="https://base.garant.ru/4188851/53f89421bbdaf741eb2d1ecc4ddb4c33/" TargetMode="External"/><Relationship Id="rId11" Type="http://schemas.openxmlformats.org/officeDocument/2006/relationships/image" Target="media/image1.png"/><Relationship Id="rId32" Type="http://schemas.openxmlformats.org/officeDocument/2006/relationships/image" Target="media/image13.png"/><Relationship Id="rId37" Type="http://schemas.openxmlformats.org/officeDocument/2006/relationships/image" Target="media/image18.png"/><Relationship Id="rId53" Type="http://schemas.openxmlformats.org/officeDocument/2006/relationships/image" Target="media/image31.png"/><Relationship Id="rId58" Type="http://schemas.openxmlformats.org/officeDocument/2006/relationships/hyperlink" Target="https://base.garant.ru/4188851/53f89421bbdaf741eb2d1ecc4ddb4c33/" TargetMode="External"/><Relationship Id="rId74" Type="http://schemas.openxmlformats.org/officeDocument/2006/relationships/image" Target="media/image47.png"/><Relationship Id="rId79" Type="http://schemas.openxmlformats.org/officeDocument/2006/relationships/image" Target="media/image52.png"/><Relationship Id="rId102" Type="http://schemas.openxmlformats.org/officeDocument/2006/relationships/hyperlink" Target="https://base.garant.ru/4188851/53f89421bbdaf741eb2d1ecc4ddb4c33/" TargetMode="External"/><Relationship Id="rId123" Type="http://schemas.openxmlformats.org/officeDocument/2006/relationships/hyperlink" Target="https://base.garant.ru/4188851/a496d02287c1e8a2f8df9041972293a4/" TargetMode="External"/><Relationship Id="rId128" Type="http://schemas.openxmlformats.org/officeDocument/2006/relationships/image" Target="media/image72.png"/><Relationship Id="rId144" Type="http://schemas.openxmlformats.org/officeDocument/2006/relationships/hyperlink" Target="https://base.garant.ru/4188851/53f89421bbdaf741eb2d1ecc4ddb4c33/" TargetMode="External"/><Relationship Id="rId149" Type="http://schemas.openxmlformats.org/officeDocument/2006/relationships/hyperlink" Target="https://base.garant.ru/4188851/53f89421bbdaf741eb2d1ecc4ddb4c33/" TargetMode="External"/><Relationship Id="rId5" Type="http://schemas.openxmlformats.org/officeDocument/2006/relationships/hyperlink" Target="https://base.garant.ru/4188851/" TargetMode="External"/><Relationship Id="rId90" Type="http://schemas.openxmlformats.org/officeDocument/2006/relationships/hyperlink" Target="https://base.garant.ru/4188851/53f89421bbdaf741eb2d1ecc4ddb4c33/" TargetMode="External"/><Relationship Id="rId95" Type="http://schemas.openxmlformats.org/officeDocument/2006/relationships/hyperlink" Target="https://base.garant.ru/4188851/53f89421bbdaf741eb2d1ecc4ddb4c33/" TargetMode="External"/><Relationship Id="rId160" Type="http://schemas.openxmlformats.org/officeDocument/2006/relationships/hyperlink" Target="https://base.garant.ru/4188851/53f89421bbdaf741eb2d1ecc4ddb4c33/" TargetMode="External"/><Relationship Id="rId165" Type="http://schemas.openxmlformats.org/officeDocument/2006/relationships/image" Target="media/image82.png"/><Relationship Id="rId181" Type="http://schemas.openxmlformats.org/officeDocument/2006/relationships/hyperlink" Target="https://base.garant.ru/4188851/53f89421bbdaf741eb2d1ecc4ddb4c33/" TargetMode="External"/><Relationship Id="rId186" Type="http://schemas.openxmlformats.org/officeDocument/2006/relationships/image" Target="media/image87.png"/><Relationship Id="rId22" Type="http://schemas.openxmlformats.org/officeDocument/2006/relationships/hyperlink" Target="https://base.garant.ru/4188851/53f89421bbdaf741eb2d1ecc4ddb4c33/" TargetMode="External"/><Relationship Id="rId27" Type="http://schemas.openxmlformats.org/officeDocument/2006/relationships/hyperlink" Target="https://base.garant.ru/4188851/b89690251be5277812a78962f6302560/" TargetMode="External"/><Relationship Id="rId43" Type="http://schemas.openxmlformats.org/officeDocument/2006/relationships/image" Target="media/image24.png"/><Relationship Id="rId48" Type="http://schemas.openxmlformats.org/officeDocument/2006/relationships/hyperlink" Target="https://base.garant.ru/4188851/53f89421bbdaf741eb2d1ecc4ddb4c33/" TargetMode="External"/><Relationship Id="rId64" Type="http://schemas.openxmlformats.org/officeDocument/2006/relationships/image" Target="media/image37.png"/><Relationship Id="rId69" Type="http://schemas.openxmlformats.org/officeDocument/2006/relationships/image" Target="media/image42.png"/><Relationship Id="rId113" Type="http://schemas.openxmlformats.org/officeDocument/2006/relationships/hyperlink" Target="https://base.garant.ru/4188851/53f89421bbdaf741eb2d1ecc4ddb4c33/" TargetMode="External"/><Relationship Id="rId118" Type="http://schemas.openxmlformats.org/officeDocument/2006/relationships/image" Target="media/image65.png"/><Relationship Id="rId134" Type="http://schemas.openxmlformats.org/officeDocument/2006/relationships/image" Target="media/image75.png"/><Relationship Id="rId139" Type="http://schemas.openxmlformats.org/officeDocument/2006/relationships/hyperlink" Target="https://base.garant.ru/4188851/62ca3c9a93aac147338fa0b3dccb5683/" TargetMode="External"/><Relationship Id="rId80" Type="http://schemas.openxmlformats.org/officeDocument/2006/relationships/hyperlink" Target="https://base.garant.ru/4188851/6f7e05a819ffc1f355e245db28220780/" TargetMode="External"/><Relationship Id="rId85" Type="http://schemas.openxmlformats.org/officeDocument/2006/relationships/image" Target="media/image57.png"/><Relationship Id="rId150" Type="http://schemas.openxmlformats.org/officeDocument/2006/relationships/hyperlink" Target="https://base.garant.ru/4188851/53f89421bbdaf741eb2d1ecc4ddb4c33/" TargetMode="External"/><Relationship Id="rId155" Type="http://schemas.openxmlformats.org/officeDocument/2006/relationships/hyperlink" Target="https://base.garant.ru/4188851/7d7b9c31284350c257ca3649122f627b/" TargetMode="External"/><Relationship Id="rId171" Type="http://schemas.openxmlformats.org/officeDocument/2006/relationships/hyperlink" Target="https://base.garant.ru/4188851/53f89421bbdaf741eb2d1ecc4ddb4c33/" TargetMode="External"/><Relationship Id="rId176" Type="http://schemas.openxmlformats.org/officeDocument/2006/relationships/hyperlink" Target="https://base.garant.ru/4188851/53f89421bbdaf741eb2d1ecc4ddb4c33/" TargetMode="External"/><Relationship Id="rId192" Type="http://schemas.openxmlformats.org/officeDocument/2006/relationships/image" Target="media/image89.png"/><Relationship Id="rId197" Type="http://schemas.openxmlformats.org/officeDocument/2006/relationships/hyperlink" Target="https://base.garant.ru/4188851/6f7e05a819ffc1f355e245db28220780/" TargetMode="External"/><Relationship Id="rId201" Type="http://schemas.openxmlformats.org/officeDocument/2006/relationships/theme" Target="theme/theme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59" Type="http://schemas.openxmlformats.org/officeDocument/2006/relationships/hyperlink" Target="https://base.garant.ru/4188851/53f89421bbdaf741eb2d1ecc4ddb4c33/" TargetMode="External"/><Relationship Id="rId103" Type="http://schemas.openxmlformats.org/officeDocument/2006/relationships/hyperlink" Target="https://base.garant.ru/4188851/53f89421bbdaf741eb2d1ecc4ddb4c33/" TargetMode="External"/><Relationship Id="rId108" Type="http://schemas.openxmlformats.org/officeDocument/2006/relationships/hyperlink" Target="https://base.garant.ru/4188851/53f89421bbdaf741eb2d1ecc4ddb4c33/" TargetMode="External"/><Relationship Id="rId124" Type="http://schemas.openxmlformats.org/officeDocument/2006/relationships/hyperlink" Target="https://base.garant.ru/4188851/b89690251be5277812a78962f6302560/" TargetMode="External"/><Relationship Id="rId129" Type="http://schemas.openxmlformats.org/officeDocument/2006/relationships/image" Target="media/image73.png"/><Relationship Id="rId54" Type="http://schemas.openxmlformats.org/officeDocument/2006/relationships/image" Target="media/image32.png"/><Relationship Id="rId70" Type="http://schemas.openxmlformats.org/officeDocument/2006/relationships/image" Target="media/image43.png"/><Relationship Id="rId75" Type="http://schemas.openxmlformats.org/officeDocument/2006/relationships/image" Target="media/image48.png"/><Relationship Id="rId91" Type="http://schemas.openxmlformats.org/officeDocument/2006/relationships/hyperlink" Target="https://base.garant.ru/4188851/53f89421bbdaf741eb2d1ecc4ddb4c33/" TargetMode="External"/><Relationship Id="rId96" Type="http://schemas.openxmlformats.org/officeDocument/2006/relationships/hyperlink" Target="https://base.garant.ru/4188851/53f89421bbdaf741eb2d1ecc4ddb4c33/" TargetMode="External"/><Relationship Id="rId140" Type="http://schemas.openxmlformats.org/officeDocument/2006/relationships/hyperlink" Target="https://base.garant.ru/4188851/53f89421bbdaf741eb2d1ecc4ddb4c33/" TargetMode="External"/><Relationship Id="rId145" Type="http://schemas.openxmlformats.org/officeDocument/2006/relationships/hyperlink" Target="https://base.garant.ru/4188851/6f7e05a819ffc1f355e245db28220780/" TargetMode="External"/><Relationship Id="rId161" Type="http://schemas.openxmlformats.org/officeDocument/2006/relationships/hyperlink" Target="https://base.garant.ru/4188851/53f89421bbdaf741eb2d1ecc4ddb4c33/" TargetMode="External"/><Relationship Id="rId166" Type="http://schemas.openxmlformats.org/officeDocument/2006/relationships/image" Target="media/image83.png"/><Relationship Id="rId182" Type="http://schemas.openxmlformats.org/officeDocument/2006/relationships/hyperlink" Target="https://base.garant.ru/4188851/53f89421bbdaf741eb2d1ecc4ddb4c33/" TargetMode="External"/><Relationship Id="rId187" Type="http://schemas.openxmlformats.org/officeDocument/2006/relationships/hyperlink" Target="https://base.garant.ru/4188851/53f89421bbdaf741eb2d1ecc4ddb4c3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4188941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base.garant.ru/4188851/62ca3c9a93aac147338fa0b3dccb5683/" TargetMode="External"/><Relationship Id="rId49" Type="http://schemas.openxmlformats.org/officeDocument/2006/relationships/hyperlink" Target="https://base.garant.ru/4188851/53f89421bbdaf741eb2d1ecc4ddb4c33/" TargetMode="External"/><Relationship Id="rId114" Type="http://schemas.openxmlformats.org/officeDocument/2006/relationships/hyperlink" Target="https://base.garant.ru/4188851/53f89421bbdaf741eb2d1ecc4ddb4c33/" TargetMode="External"/><Relationship Id="rId119" Type="http://schemas.openxmlformats.org/officeDocument/2006/relationships/image" Target="media/image66.png"/><Relationship Id="rId44" Type="http://schemas.openxmlformats.org/officeDocument/2006/relationships/image" Target="media/image25.png"/><Relationship Id="rId60" Type="http://schemas.openxmlformats.org/officeDocument/2006/relationships/hyperlink" Target="https://base.garant.ru/4188851/53f89421bbdaf741eb2d1ecc4ddb4c33/" TargetMode="External"/><Relationship Id="rId65" Type="http://schemas.openxmlformats.org/officeDocument/2006/relationships/image" Target="media/image38.png"/><Relationship Id="rId81" Type="http://schemas.openxmlformats.org/officeDocument/2006/relationships/image" Target="media/image53.png"/><Relationship Id="rId86" Type="http://schemas.openxmlformats.org/officeDocument/2006/relationships/image" Target="media/image58.png"/><Relationship Id="rId130" Type="http://schemas.openxmlformats.org/officeDocument/2006/relationships/hyperlink" Target="https://base.garant.ru/4188851/b89690251be5277812a78962f6302560/" TargetMode="External"/><Relationship Id="rId135" Type="http://schemas.openxmlformats.org/officeDocument/2006/relationships/image" Target="media/image76.png"/><Relationship Id="rId151" Type="http://schemas.openxmlformats.org/officeDocument/2006/relationships/image" Target="media/image79.png"/><Relationship Id="rId156" Type="http://schemas.openxmlformats.org/officeDocument/2006/relationships/hyperlink" Target="https://base.garant.ru/4188851/53f89421bbdaf741eb2d1ecc4ddb4c33/" TargetMode="External"/><Relationship Id="rId177" Type="http://schemas.openxmlformats.org/officeDocument/2006/relationships/hyperlink" Target="https://base.garant.ru/4188851/53f89421bbdaf741eb2d1ecc4ddb4c33/" TargetMode="External"/><Relationship Id="rId198" Type="http://schemas.openxmlformats.org/officeDocument/2006/relationships/hyperlink" Target="https://base.garant.ru/4188851/a496d02287c1e8a2f8df9041972293a4/" TargetMode="External"/><Relationship Id="rId172" Type="http://schemas.openxmlformats.org/officeDocument/2006/relationships/hyperlink" Target="https://base.garant.ru/4188851/53f89421bbdaf741eb2d1ecc4ddb4c33/" TargetMode="External"/><Relationship Id="rId193" Type="http://schemas.openxmlformats.org/officeDocument/2006/relationships/image" Target="media/image90.png"/><Relationship Id="rId13" Type="http://schemas.openxmlformats.org/officeDocument/2006/relationships/image" Target="media/image3.png"/><Relationship Id="rId18" Type="http://schemas.openxmlformats.org/officeDocument/2006/relationships/hyperlink" Target="https://base.garant.ru/4188851/53f89421bbdaf741eb2d1ecc4ddb4c33/" TargetMode="External"/><Relationship Id="rId39" Type="http://schemas.openxmlformats.org/officeDocument/2006/relationships/image" Target="media/image20.png"/><Relationship Id="rId109" Type="http://schemas.openxmlformats.org/officeDocument/2006/relationships/hyperlink" Target="https://base.garant.ru/4188851/53f89421bbdaf741eb2d1ecc4ddb4c33/" TargetMode="External"/><Relationship Id="rId34" Type="http://schemas.openxmlformats.org/officeDocument/2006/relationships/image" Target="media/image15.pn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76" Type="http://schemas.openxmlformats.org/officeDocument/2006/relationships/image" Target="media/image49.png"/><Relationship Id="rId97" Type="http://schemas.openxmlformats.org/officeDocument/2006/relationships/hyperlink" Target="https://base.garant.ru/4188851/53f89421bbdaf741eb2d1ecc4ddb4c33/" TargetMode="External"/><Relationship Id="rId104" Type="http://schemas.openxmlformats.org/officeDocument/2006/relationships/hyperlink" Target="https://base.garant.ru/4188851/53f89421bbdaf741eb2d1ecc4ddb4c33/" TargetMode="External"/><Relationship Id="rId120" Type="http://schemas.openxmlformats.org/officeDocument/2006/relationships/image" Target="media/image67.png"/><Relationship Id="rId125" Type="http://schemas.openxmlformats.org/officeDocument/2006/relationships/hyperlink" Target="https://base.garant.ru/4188851/62ca3c9a93aac147338fa0b3dccb5683/" TargetMode="External"/><Relationship Id="rId141" Type="http://schemas.openxmlformats.org/officeDocument/2006/relationships/hyperlink" Target="https://base.garant.ru/4188851/53f89421bbdaf741eb2d1ecc4ddb4c33/" TargetMode="External"/><Relationship Id="rId146" Type="http://schemas.openxmlformats.org/officeDocument/2006/relationships/hyperlink" Target="https://base.garant.ru/4188851/53f89421bbdaf741eb2d1ecc4ddb4c33/" TargetMode="External"/><Relationship Id="rId167" Type="http://schemas.openxmlformats.org/officeDocument/2006/relationships/image" Target="media/image84.png"/><Relationship Id="rId188" Type="http://schemas.openxmlformats.org/officeDocument/2006/relationships/hyperlink" Target="https://base.garant.ru/4188851/53f89421bbdaf741eb2d1ecc4ddb4c33/" TargetMode="External"/><Relationship Id="rId7" Type="http://schemas.openxmlformats.org/officeDocument/2006/relationships/hyperlink" Target="https://base.garant.ru/12177986/53f89421bbdaf741eb2d1ecc4ddb4c33/" TargetMode="External"/><Relationship Id="rId71" Type="http://schemas.openxmlformats.org/officeDocument/2006/relationships/image" Target="media/image44.png"/><Relationship Id="rId92" Type="http://schemas.openxmlformats.org/officeDocument/2006/relationships/hyperlink" Target="https://base.garant.ru/12183570/" TargetMode="External"/><Relationship Id="rId162" Type="http://schemas.openxmlformats.org/officeDocument/2006/relationships/hyperlink" Target="https://base.garant.ru/4188851/53f89421bbdaf741eb2d1ecc4ddb4c33/" TargetMode="External"/><Relationship Id="rId183" Type="http://schemas.openxmlformats.org/officeDocument/2006/relationships/hyperlink" Target="https://base.garant.ru/4188851/53f89421bbdaf741eb2d1ecc4ddb4c33/" TargetMode="External"/><Relationship Id="rId2" Type="http://schemas.openxmlformats.org/officeDocument/2006/relationships/styles" Target="styles.xml"/><Relationship Id="rId29" Type="http://schemas.openxmlformats.org/officeDocument/2006/relationships/image" Target="media/image10.png"/><Relationship Id="rId24" Type="http://schemas.openxmlformats.org/officeDocument/2006/relationships/image" Target="media/image9.pn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66" Type="http://schemas.openxmlformats.org/officeDocument/2006/relationships/image" Target="media/image39.png"/><Relationship Id="rId87" Type="http://schemas.openxmlformats.org/officeDocument/2006/relationships/image" Target="media/image59.png"/><Relationship Id="rId110" Type="http://schemas.openxmlformats.org/officeDocument/2006/relationships/hyperlink" Target="https://base.garant.ru/4188851/53f89421bbdaf741eb2d1ecc4ddb4c33/" TargetMode="External"/><Relationship Id="rId115" Type="http://schemas.openxmlformats.org/officeDocument/2006/relationships/image" Target="media/image62.png"/><Relationship Id="rId131" Type="http://schemas.openxmlformats.org/officeDocument/2006/relationships/hyperlink" Target="https://base.garant.ru/4188851/53f89421bbdaf741eb2d1ecc4ddb4c33/" TargetMode="External"/><Relationship Id="rId136" Type="http://schemas.openxmlformats.org/officeDocument/2006/relationships/image" Target="media/image77.png"/><Relationship Id="rId157" Type="http://schemas.openxmlformats.org/officeDocument/2006/relationships/hyperlink" Target="https://base.garant.ru/4188851/53f89421bbdaf741eb2d1ecc4ddb4c33/" TargetMode="External"/><Relationship Id="rId178" Type="http://schemas.openxmlformats.org/officeDocument/2006/relationships/hyperlink" Target="https://base.garant.ru/4188851/53f89421bbdaf741eb2d1ecc4ddb4c33/" TargetMode="External"/><Relationship Id="rId61" Type="http://schemas.openxmlformats.org/officeDocument/2006/relationships/hyperlink" Target="https://base.garant.ru/4188851/62ca3c9a93aac147338fa0b3dccb5683/" TargetMode="External"/><Relationship Id="rId82" Type="http://schemas.openxmlformats.org/officeDocument/2006/relationships/image" Target="media/image54.png"/><Relationship Id="rId152" Type="http://schemas.openxmlformats.org/officeDocument/2006/relationships/image" Target="media/image80.png"/><Relationship Id="rId173" Type="http://schemas.openxmlformats.org/officeDocument/2006/relationships/hyperlink" Target="https://base.garant.ru/4188851/53f89421bbdaf741eb2d1ecc4ddb4c33/" TargetMode="External"/><Relationship Id="rId194" Type="http://schemas.openxmlformats.org/officeDocument/2006/relationships/hyperlink" Target="https://base.garant.ru/4188851/53f89421bbdaf741eb2d1ecc4ddb4c33/" TargetMode="External"/><Relationship Id="rId199" Type="http://schemas.openxmlformats.org/officeDocument/2006/relationships/hyperlink" Target="https://base.garant.ru/4188851/7d7b9c31284350c257ca3649122f627b/" TargetMode="External"/><Relationship Id="rId19" Type="http://schemas.openxmlformats.org/officeDocument/2006/relationships/hyperlink" Target="https://base.garant.ru/4188851/53f89421bbdaf741eb2d1ecc4ddb4c33/" TargetMode="External"/><Relationship Id="rId14" Type="http://schemas.openxmlformats.org/officeDocument/2006/relationships/image" Target="media/image4.png"/><Relationship Id="rId30" Type="http://schemas.openxmlformats.org/officeDocument/2006/relationships/image" Target="media/image11.png"/><Relationship Id="rId35" Type="http://schemas.openxmlformats.org/officeDocument/2006/relationships/image" Target="media/image16.png"/><Relationship Id="rId56" Type="http://schemas.openxmlformats.org/officeDocument/2006/relationships/image" Target="media/image34.png"/><Relationship Id="rId77" Type="http://schemas.openxmlformats.org/officeDocument/2006/relationships/image" Target="media/image50.png"/><Relationship Id="rId100" Type="http://schemas.openxmlformats.org/officeDocument/2006/relationships/hyperlink" Target="https://base.garant.ru/4188851/53f89421bbdaf741eb2d1ecc4ddb4c33/" TargetMode="External"/><Relationship Id="rId105" Type="http://schemas.openxmlformats.org/officeDocument/2006/relationships/hyperlink" Target="https://base.garant.ru/4188851/53f89421bbdaf741eb2d1ecc4ddb4c33/" TargetMode="External"/><Relationship Id="rId126" Type="http://schemas.openxmlformats.org/officeDocument/2006/relationships/image" Target="media/image70.png"/><Relationship Id="rId147" Type="http://schemas.openxmlformats.org/officeDocument/2006/relationships/hyperlink" Target="https://base.garant.ru/4188851/53f89421bbdaf741eb2d1ecc4ddb4c33/" TargetMode="External"/><Relationship Id="rId168" Type="http://schemas.openxmlformats.org/officeDocument/2006/relationships/image" Target="media/image85.png"/><Relationship Id="rId8" Type="http://schemas.openxmlformats.org/officeDocument/2006/relationships/hyperlink" Target="https://base.garant.ru/12177986/" TargetMode="External"/><Relationship Id="rId51" Type="http://schemas.openxmlformats.org/officeDocument/2006/relationships/image" Target="media/image29.png"/><Relationship Id="rId72" Type="http://schemas.openxmlformats.org/officeDocument/2006/relationships/image" Target="media/image45.png"/><Relationship Id="rId93" Type="http://schemas.openxmlformats.org/officeDocument/2006/relationships/hyperlink" Target="https://base.garant.ru/4188851/53f89421bbdaf741eb2d1ecc4ddb4c33/" TargetMode="External"/><Relationship Id="rId98" Type="http://schemas.openxmlformats.org/officeDocument/2006/relationships/hyperlink" Target="https://base.garant.ru/4188851/53f89421bbdaf741eb2d1ecc4ddb4c33/" TargetMode="External"/><Relationship Id="rId121" Type="http://schemas.openxmlformats.org/officeDocument/2006/relationships/image" Target="media/image68.png"/><Relationship Id="rId142" Type="http://schemas.openxmlformats.org/officeDocument/2006/relationships/hyperlink" Target="https://base.garant.ru/4188851/53f89421bbdaf741eb2d1ecc4ddb4c33/" TargetMode="External"/><Relationship Id="rId163" Type="http://schemas.openxmlformats.org/officeDocument/2006/relationships/hyperlink" Target="https://base.garant.ru/4188851/53f89421bbdaf741eb2d1ecc4ddb4c33/" TargetMode="External"/><Relationship Id="rId184" Type="http://schemas.openxmlformats.org/officeDocument/2006/relationships/hyperlink" Target="https://base.garant.ru/4188851/53f89421bbdaf741eb2d1ecc4ddb4c33/" TargetMode="External"/><Relationship Id="rId189" Type="http://schemas.openxmlformats.org/officeDocument/2006/relationships/hyperlink" Target="https://base.garant.ru/4188851/53f89421bbdaf741eb2d1ecc4ddb4c33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ase.garant.ru/4188851/53f89421bbdaf741eb2d1ecc4ddb4c33/" TargetMode="External"/><Relationship Id="rId46" Type="http://schemas.openxmlformats.org/officeDocument/2006/relationships/image" Target="media/image27.png"/><Relationship Id="rId67" Type="http://schemas.openxmlformats.org/officeDocument/2006/relationships/image" Target="media/image40.png"/><Relationship Id="rId116" Type="http://schemas.openxmlformats.org/officeDocument/2006/relationships/image" Target="media/image63.png"/><Relationship Id="rId137" Type="http://schemas.openxmlformats.org/officeDocument/2006/relationships/image" Target="media/image78.png"/><Relationship Id="rId158" Type="http://schemas.openxmlformats.org/officeDocument/2006/relationships/hyperlink" Target="https://base.garant.ru/4188851/53f89421bbdaf741eb2d1ecc4ddb4c33/" TargetMode="External"/><Relationship Id="rId20" Type="http://schemas.openxmlformats.org/officeDocument/2006/relationships/hyperlink" Target="https://base.garant.ru/4188851/53f89421bbdaf741eb2d1ecc4ddb4c33/" TargetMode="External"/><Relationship Id="rId41" Type="http://schemas.openxmlformats.org/officeDocument/2006/relationships/image" Target="media/image22.png"/><Relationship Id="rId62" Type="http://schemas.openxmlformats.org/officeDocument/2006/relationships/image" Target="media/image35.png"/><Relationship Id="rId83" Type="http://schemas.openxmlformats.org/officeDocument/2006/relationships/image" Target="media/image55.png"/><Relationship Id="rId88" Type="http://schemas.openxmlformats.org/officeDocument/2006/relationships/image" Target="media/image60.png"/><Relationship Id="rId111" Type="http://schemas.openxmlformats.org/officeDocument/2006/relationships/hyperlink" Target="https://base.garant.ru/4188851/53f89421bbdaf741eb2d1ecc4ddb4c33/" TargetMode="External"/><Relationship Id="rId132" Type="http://schemas.openxmlformats.org/officeDocument/2006/relationships/hyperlink" Target="https://base.garant.ru/4188851/53f89421bbdaf741eb2d1ecc4ddb4c33/" TargetMode="External"/><Relationship Id="rId153" Type="http://schemas.openxmlformats.org/officeDocument/2006/relationships/hyperlink" Target="https://base.garant.ru/4188851/53f89421bbdaf741eb2d1ecc4ddb4c33/" TargetMode="External"/><Relationship Id="rId174" Type="http://schemas.openxmlformats.org/officeDocument/2006/relationships/hyperlink" Target="https://base.garant.ru/4188851/53f89421bbdaf741eb2d1ecc4ddb4c33/" TargetMode="External"/><Relationship Id="rId179" Type="http://schemas.openxmlformats.org/officeDocument/2006/relationships/hyperlink" Target="https://base.garant.ru/4188851/53f89421bbdaf741eb2d1ecc4ddb4c33/" TargetMode="External"/><Relationship Id="rId195" Type="http://schemas.openxmlformats.org/officeDocument/2006/relationships/hyperlink" Target="https://base.garant.ru/4188851/b89690251be5277812a78962f6302560/" TargetMode="External"/><Relationship Id="rId190" Type="http://schemas.openxmlformats.org/officeDocument/2006/relationships/hyperlink" Target="https://base.garant.ru/4188851/53f89421bbdaf741eb2d1ecc4ddb4c33/" TargetMode="External"/><Relationship Id="rId15" Type="http://schemas.openxmlformats.org/officeDocument/2006/relationships/image" Target="media/image5.png"/><Relationship Id="rId36" Type="http://schemas.openxmlformats.org/officeDocument/2006/relationships/image" Target="media/image17.png"/><Relationship Id="rId57" Type="http://schemas.openxmlformats.org/officeDocument/2006/relationships/hyperlink" Target="https://base.garant.ru/4188851/53f89421bbdaf741eb2d1ecc4ddb4c33/" TargetMode="External"/><Relationship Id="rId106" Type="http://schemas.openxmlformats.org/officeDocument/2006/relationships/hyperlink" Target="https://base.garant.ru/4188851/53f89421bbdaf741eb2d1ecc4ddb4c33/" TargetMode="External"/><Relationship Id="rId127" Type="http://schemas.openxmlformats.org/officeDocument/2006/relationships/image" Target="media/image71.png"/><Relationship Id="rId10" Type="http://schemas.openxmlformats.org/officeDocument/2006/relationships/hyperlink" Target="https://base.garant.ru/4188851/53f89421bbdaf741eb2d1ecc4ddb4c33/" TargetMode="External"/><Relationship Id="rId31" Type="http://schemas.openxmlformats.org/officeDocument/2006/relationships/image" Target="media/image12.png"/><Relationship Id="rId52" Type="http://schemas.openxmlformats.org/officeDocument/2006/relationships/image" Target="media/image30.png"/><Relationship Id="rId73" Type="http://schemas.openxmlformats.org/officeDocument/2006/relationships/image" Target="media/image46.png"/><Relationship Id="rId78" Type="http://schemas.openxmlformats.org/officeDocument/2006/relationships/image" Target="media/image51.png"/><Relationship Id="rId94" Type="http://schemas.openxmlformats.org/officeDocument/2006/relationships/hyperlink" Target="https://base.garant.ru/4188851/53f89421bbdaf741eb2d1ecc4ddb4c33/" TargetMode="External"/><Relationship Id="rId99" Type="http://schemas.openxmlformats.org/officeDocument/2006/relationships/hyperlink" Target="https://base.garant.ru/4188851/53f89421bbdaf741eb2d1ecc4ddb4c33/" TargetMode="External"/><Relationship Id="rId101" Type="http://schemas.openxmlformats.org/officeDocument/2006/relationships/hyperlink" Target="https://base.garant.ru/4188851/53f89421bbdaf741eb2d1ecc4ddb4c33/" TargetMode="External"/><Relationship Id="rId122" Type="http://schemas.openxmlformats.org/officeDocument/2006/relationships/image" Target="media/image69.png"/><Relationship Id="rId143" Type="http://schemas.openxmlformats.org/officeDocument/2006/relationships/hyperlink" Target="https://base.garant.ru/4188851/53f89421bbdaf741eb2d1ecc4ddb4c33/" TargetMode="External"/><Relationship Id="rId148" Type="http://schemas.openxmlformats.org/officeDocument/2006/relationships/hyperlink" Target="https://base.garant.ru/4188851/53f89421bbdaf741eb2d1ecc4ddb4c33/" TargetMode="External"/><Relationship Id="rId164" Type="http://schemas.openxmlformats.org/officeDocument/2006/relationships/image" Target="media/image81.png"/><Relationship Id="rId169" Type="http://schemas.openxmlformats.org/officeDocument/2006/relationships/image" Target="media/image86.png"/><Relationship Id="rId185" Type="http://schemas.openxmlformats.org/officeDocument/2006/relationships/hyperlink" Target="https://base.garant.ru/4188851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08778/" TargetMode="External"/><Relationship Id="rId180" Type="http://schemas.openxmlformats.org/officeDocument/2006/relationships/hyperlink" Target="https://base.garant.ru/4188851/53f89421bbdaf741eb2d1ecc4ddb4c33/" TargetMode="External"/><Relationship Id="rId26" Type="http://schemas.openxmlformats.org/officeDocument/2006/relationships/hyperlink" Target="https://base.garant.ru/4188851/53f89421bbdaf741eb2d1ecc4ddb4c33/" TargetMode="External"/><Relationship Id="rId47" Type="http://schemas.openxmlformats.org/officeDocument/2006/relationships/hyperlink" Target="https://base.garant.ru/4188851/53f89421bbdaf741eb2d1ecc4ddb4c33/" TargetMode="External"/><Relationship Id="rId68" Type="http://schemas.openxmlformats.org/officeDocument/2006/relationships/image" Target="media/image41.png"/><Relationship Id="rId89" Type="http://schemas.openxmlformats.org/officeDocument/2006/relationships/image" Target="media/image61.png"/><Relationship Id="rId112" Type="http://schemas.openxmlformats.org/officeDocument/2006/relationships/hyperlink" Target="https://base.garant.ru/4188851/53f89421bbdaf741eb2d1ecc4ddb4c33/" TargetMode="External"/><Relationship Id="rId133" Type="http://schemas.openxmlformats.org/officeDocument/2006/relationships/image" Target="media/image74.png"/><Relationship Id="rId154" Type="http://schemas.openxmlformats.org/officeDocument/2006/relationships/hyperlink" Target="https://base.garant.ru/4188851/53f89421bbdaf741eb2d1ecc4ddb4c33/" TargetMode="External"/><Relationship Id="rId175" Type="http://schemas.openxmlformats.org/officeDocument/2006/relationships/hyperlink" Target="https://base.garant.ru/4188851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9216</Words>
  <Characters>52537</Characters>
  <Application>Microsoft Office Word</Application>
  <DocSecurity>0</DocSecurity>
  <Lines>437</Lines>
  <Paragraphs>123</Paragraphs>
  <ScaleCrop>false</ScaleCrop>
  <Company>SPecialiST RePack</Company>
  <LinksUpToDate>false</LinksUpToDate>
  <CharactersWithSpaces>61630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2022-03-16T08:29:00Z</dcterms:created>
  <dcterms:modified xsi:type="dcterms:W3CDTF">2022-03-16T08:30:00Z</dcterms:modified>
</cp:coreProperties>
</file>