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23" w:rsidRPr="00456923" w:rsidRDefault="00456923" w:rsidP="0045692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</w:pPr>
      <w:r w:rsidRPr="00456923"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  <w:t>Постановление Главного государственного санитарного врача РФ от 28 сентября 2020</w:t>
      </w:r>
      <w:r w:rsidRPr="00456923">
        <w:rPr>
          <w:rFonts w:ascii="Arial" w:eastAsia="Times New Roman" w:hAnsi="Arial" w:cs="Arial"/>
          <w:b/>
          <w:bCs/>
          <w:color w:val="4D4D4D"/>
          <w:sz w:val="27"/>
          <w:szCs w:val="27"/>
        </w:rPr>
        <w:t> </w:t>
      </w:r>
      <w:r w:rsidRPr="00456923"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  <w:t>г. №</w:t>
      </w:r>
      <w:r w:rsidRPr="00456923">
        <w:rPr>
          <w:rFonts w:ascii="Arial" w:eastAsia="Times New Roman" w:hAnsi="Arial" w:cs="Arial"/>
          <w:b/>
          <w:bCs/>
          <w:color w:val="4D4D4D"/>
          <w:sz w:val="27"/>
          <w:szCs w:val="27"/>
        </w:rPr>
        <w:t> </w:t>
      </w:r>
      <w:r w:rsidRPr="00456923"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  <w:t>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</w:p>
    <w:p w:rsidR="00456923" w:rsidRPr="00456923" w:rsidRDefault="00456923" w:rsidP="0045692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456923">
        <w:rPr>
          <w:rFonts w:ascii="Arial" w:eastAsia="Times New Roman" w:hAnsi="Arial" w:cs="Arial"/>
          <w:color w:val="333333"/>
          <w:sz w:val="21"/>
          <w:szCs w:val="21"/>
          <w:lang w:val="ru-RU"/>
        </w:rPr>
        <w:t>22 декабря 2020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bookmarkStart w:id="0" w:name="0"/>
      <w:bookmarkEnd w:id="0"/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 соответствии со статьей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39 Федерального закона от 30.03.1999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52-ФЗ "О санитарно-эпидемиологическом благополучии населения" (Собрание законодательства Российской Федерации, 1999,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14,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1650; 2019,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30,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4134) и постановлением Правительства Российской Федерации от 24.07.2000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31,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3295; 2004,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8,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663;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47,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4666; 2005,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39,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3953) постановляю: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1. Утвердить санитарные правила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 Ввести в действие санитарные правила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3. Установить срок действия санитарных правил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4. Признать утратившими силу с 01.01.2021: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20.11.2002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38 "О введении в действие Санитарных правил и нормативов" (зарегистрировано Минюстом России 19.12.2002,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4046);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Российский Федерации от 28.01.2003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 "О введении в действие санитарно-эпидемиологических правил и нормативов СанПиН 2.4.3.1186-03" (зарегистрировано Минюстом России 11.02.2003,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4204);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Российский Федерации от 17.04.2003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51 "О введении в действие санитарно-эпидемиологических правил и нормативов СанПиН 2.4.7/1.1.1286-03" (зарегистрировано Минюстом России 05.05.2003,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4499);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Российский Федерации от 03.06.2003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118 "О введении в действие санитарно-эпидемиологических правил и нормативов СанПиН 2.2.2/2.4.1340-03" (зарегистрировано Минюстом России 10.06.2003,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4673);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Российский Федерации от 25.04.2007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22 "Об утверждении СанПиН 2.2.2/2.4.2198-07" (зарегистрировано Минюстом России 07.06.2007,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9615);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Российский Федерации от 28.04.2007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24 "Об утверждении СанПиН 2.4.3.2201-07" (зарегистрировано Минюстом России 07.06.2007,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9610);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постановление Главного государственного санитарного врача Российской Федерации от 23.07.2008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45 "Об утверждении СанПиН 2.4.5.2409-08" (зарегистрировано Минюстом России 07.08.2008,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12085);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30.09.2009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58 "Об утверждении СанПиН 2.4.6.2553-09" (зарегистрировано Минюстом России 05.11.2009,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15172);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Российский Федерации от 30.09.2009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59 "Об утверждении СанПиН 2.4.3.2554-09" (зарегистрировано Минюстом России 06.11.2009,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15197);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19.04.2010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25 "Об утверждении СанПиН 2.4.4.2599-10" (зарегистрировано Минюстом России 26.05.2010,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17378);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Российский Федерации от 30.04.2010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48 "Об утверждении СанПиН 2.2.2/2.4.2620-10" (зарегистрировано Минюстом России 07.06.2010,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17481);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Российский Федерации от 28.06.2010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72 "Об утверждении СанПиН 2.4.7/1.1.2651-10" (зарегистрировано Минюстом России 22.07.2010,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17944);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Российский Федерации от 03.09.2010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116 "Об утверждении СанПиН 2.2.2/2.4.2732-10 "Изменение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18748);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29.12.2010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19993);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Российский Федерации от 04.03.2011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17 "Об утверждении СанПиН 2.4.3.2841-11 "Изменения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20327);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18.03.2011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20277);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29.06.2011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85 "Об утверждении СанПиН 2.4.2.2883-11 "Изменения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22637);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18.03.2011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21 "Об утверждении СанПиН 2.4.2.2843-11 "Санитарно-эпидемиологические требования к 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устройству, содержанию и организации работы детских санаториев" (зарегистрировано Минюстом России 24.03.2011,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20279);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14.05.2013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28563);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15.05.2013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28564);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19.12.2013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31209);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25.12.2013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72 "О внесении изменений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31751);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27.12.2013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32024);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04.07.2014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33660);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02.12.2014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78 "О признании утратившим силу пункта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35144);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09.02.2015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36571);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20.07.2015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38312);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10.07.2015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38528);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27.08.2015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38824);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24.11.2015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81 "О внесении изменений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40154);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14.08.2015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38591);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22.03.2017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38 "О внесении изменений в СанПиН 2.4.4.2599-10, СанПиН 2.4.4.3155-13, СанПиН 2.4.4.3048-13, СанПиН 2.4.2.2842-11" (зарегистрировано Минюстом России 11.04.2017,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46337);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25.03.2019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6 "О внесении изменений в постановление Главного государственного санитарного врача Российской Федерации от 23.07.2008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45 "Об утверждении СанПиН 2.4.5.2409-08" (зарегистрировано Минюстом России 08.04.2019,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54310);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22.05.2019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54764).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456923" w:rsidRPr="00456923" w:rsidTr="00456923">
        <w:tc>
          <w:tcPr>
            <w:tcW w:w="2500" w:type="pct"/>
            <w:hideMark/>
          </w:tcPr>
          <w:p w:rsidR="00456923" w:rsidRPr="00456923" w:rsidRDefault="00456923" w:rsidP="004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569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6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hideMark/>
          </w:tcPr>
          <w:p w:rsidR="00456923" w:rsidRPr="00456923" w:rsidRDefault="00456923" w:rsidP="004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923">
              <w:rPr>
                <w:rFonts w:ascii="Times New Roman" w:eastAsia="Times New Roman" w:hAnsi="Times New Roman" w:cs="Times New Roman"/>
                <w:sz w:val="24"/>
                <w:szCs w:val="24"/>
              </w:rPr>
              <w:t>А.Ю. Попова</w:t>
            </w:r>
          </w:p>
        </w:tc>
      </w:tr>
    </w:tbl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Зарегистрировано в Минюсте РФ 18 декабря 2020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г.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61573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УТВЕРЖДЕНЫ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br/>
        <w:t>постановлением Главного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br/>
        <w:t>государственного санитарного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br/>
        <w:t>врача Российской Федерации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br/>
        <w:t>от 28.09.2020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г.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28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456923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Санитарные правила СП 2.4.3648-20</w:t>
      </w:r>
      <w:r w:rsidRPr="00456923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br/>
        <w:t>"Санитарно-эпидемиологические требования к организациям воспитания и обучения, отдыха и оздоровления детей и молодежи"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456923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1. Область применения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пунктом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1.1 Правил (далее - Хозяйствующие субъекты).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Правила не распространяются на проведение экскурсионных мероприятий и организованных походов.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пунктом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1.1 Правил (далее - объекты), должны соблюдаться требования Правил, установленные пунктами 2.1.1, 2.1.2 (абзацы 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2.4.1, 2.4.2, 2.4.3 (абзацы первый, третий, четвертый,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2.6.5, 2.7.1 (абзацы первый и второй), 2.7.2, 2.7.4 (абзацы первый и второй), 2.8.1, 2.8.2 (абзацы первый и второй), 2.8.5 (абзац первый), 2.8.7, 2.8.8,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- восьмой)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пунктами 3.2.1 (абзац первый и 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пунктами 3.3.1 (абзац первый и второй), 3.3.3 -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пунктами 3.4.1 (абзац первый), 3.4.2, 3.4.3 (абзацы первый - третий), 3.4.4, 3.4.5, 3.4.9 - 3.4.13,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пунктами 3.6.1, 3.6.3 (абзацы первый - четвертый) - в отношении организаций дополнительного образования и физкультурно-спортивных организаций,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пунктами 3.7.2, 3.7.4, 3.7.5 - в отношении организаций для детей-сирот и детей, оставшихся без попечения родителей;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пунктами 3.8.1 - 3.8.4 - в отношении организаций социального обслуживания семьи и детей,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пунктами 3.10.1, 3.10.2 - в отношении образовательных организаций высшего образования,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пунктом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3.15 -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1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</w:t>
      </w: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2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</w:t>
      </w: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3</w:t>
      </w: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и иметь личную медицинскую книжку</w:t>
      </w: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4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1.7. Проведение всех видов ремонтных работ в присутствии детей не допускается.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1.12.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456923">
        <w:rPr>
          <w:rFonts w:ascii="Arial" w:eastAsia="Times New Roman" w:hAnsi="Arial" w:cs="Arial"/>
          <w:b/>
          <w:bCs/>
          <w:color w:val="333333"/>
          <w:sz w:val="26"/>
          <w:szCs w:val="26"/>
        </w:rPr>
        <w:t>II</w:t>
      </w:r>
      <w:r w:rsidRPr="00456923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. Общие требования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2.1. При размещении объектов хозяйствующим субъектом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м, в условиях стесненной городской застройки и труднодоступной местности - 800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м, для сельских поселений - до 1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Пешеходный подход обучающихся от жилых зданий к месту сбора на остановке должен быть не более 500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м. Для сельских районов допускается увеличение радиуса пешеходной доступности до остановки до 1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2.2. На территории хозяйствующего субъекта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На собственной территории не должно быть плодоносящих ядовитыми плодами деревьев и кустарников.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Спортивные занятия и мероприятия на сырых площадках и (или) на площадках, имеющих дефекты, не проводятся.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м во все стороны.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На площадке устанавливаются контейнеры (мусоросборники) закрывающимися крышками.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2.2.4. Покрытие проездов, подходов и дорожек на собственной территории не должно иметь дефектов.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</w:t>
      </w: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5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 В объектах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2.4.1. Входы в здания оборудуются тамбурами или воздушно-тепловыми завесами если иное не определено главой 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III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Правил.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6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Детей рассаживают с учетом роста, наличия заболеваний органов дыхания, слуха и зрения.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TP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ТС 025/2012.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2.4.4. Помещения, предназначенные для организации учебного процесса, оборудуются классными досками.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Интерактивная доска должна быть расположена по центру фронтальной стены классного помещения.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Использование ЭСО 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</w: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7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2.4.6. При организации питания хозяйствующими субъектами должны соблюдаться следующие требования.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14422D73" wp14:editId="68699356">
            <wp:extent cx="161925" cy="209550"/>
            <wp:effectExtent l="0" t="0" r="9525" b="0"/>
            <wp:docPr id="1" name="Рисунок 1" descr="https://www.garant.ru/files/5/5/1429255/pict10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5/5/1429255/pict10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, от 3 до 7 лет - 16,0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49D6603B" wp14:editId="3A249E08">
            <wp:extent cx="161925" cy="209550"/>
            <wp:effectExtent l="0" t="0" r="9525" b="0"/>
            <wp:docPr id="2" name="Рисунок 2" descr="https://www.garant.ru/files/5/5/1429255/pict11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5/5/1429255/pict11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; для детей старше 7 лет - не менее 0,1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40368DE7" wp14:editId="68247886">
            <wp:extent cx="161925" cy="209550"/>
            <wp:effectExtent l="0" t="0" r="9525" b="0"/>
            <wp:docPr id="3" name="Рисунок 3" descr="https://www.garant.ru/files/5/5/1429255/pict12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5/5/1429255/pict12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на ребенка.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Санитарно-техническое оборудование должно гигиеническим нормативам, быть исправным и без дефектов.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Инструкции по приготовлению дезинфицирующих растворов должны размещаться в месте их приготовления.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</w:t>
      </w: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8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Помещения (места) для стирки белья и гладильные оборудуются отдельно.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2.5. При отделке объектов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 помещениях с повышенной влажностью воздуха потолки должны быть влагостойкими.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2.6.2. 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2.6.3. Горячая и холодная вода должна подаваться через смесители.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2.7. Микроклимат, отопление и вентиляция в объектах должны соответствовать следующим требованиям: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Не допускается использование переносных отопительных приборов с инфракрасным излучением.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Проветривание в присутствии детей не проводится.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2.7.3. 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 системой вытяжной вентиляции.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Ограждения из древесно-стружечных плит к использованию не допускаются.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2.8. Естественное и искусственное освежение в объектах должны соответствовать следующим требованиям: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м оборудуется правосторонний подсвет со стороны стены противоположной светонесущей, высота которого должна быть не менее 2,2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м от пола.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Допускается эксплуатация без естественного освещения следующих помещений: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Помещений для спортивных снарядов (далее - снарядные),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умывальных, душевых, туалетов при гимнастическом (или спортивном) зале,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душевых и туалетов для персонала,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кладовых и складских помещений, радиоузлов,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кино- фото- лабораторий,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кинозалов,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книгохранилищ,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бойлерных, насосных водопровода и канализации,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камер вентиляционных,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камер кондиционирования воздуха,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Не допускается в одном помещении использовать разные типы ламп, а также лампы с разным светооизлучением.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2.8.6. Осветительные приборы должны иметь светорассеиваюшую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2.8.7. В спальных корпусах дополнительно предусматривается дежурное (ночное) освещение в рекреациях (коридорах).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</w:t>
      </w: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9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организация профилактических и противоэпидемических мероприятий и контроль за их проведением;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10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работу по формированию здорового образа жизни и реализация технологий сбережения здоровья;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контроль за соблюдением правил личной гигиены;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Все выявленные инвазированные регистрируются в журнале для инфекционных заболеваний.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паразитологические показатели.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Возможность помывки в душе предоставляется ежедневно.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2.9.7. Хозяйствующим субъектом должны быть созданы условия для мытья рук воспитанников, обучающихся и отдыхающих.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2.10. В отношении организации образовательного процесса и режима дня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2.10.2. Кабинеты информатики и работа с ЭСО должны соответствовать гигиеническим нормативам.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- 10 минут, для 5-9-х классов -15 минут.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5-9 классов - 30 минут, 10-11 классов - 35 минут.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Занятия с использованием ЭСО в возрастных группах до 5 лет не проводятся.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Не допускается сжигание мусора на собственной территории, в том числе в мусоросборниках.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нормативам. При обнаружении возбудителей паразитарных и инфекционных болезней проводится внеочередная замена песка.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2.11.2. Все помещения подлежат ежедневной влажной уборке с применением моющих средств.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Столы в групповых помещениях промываются горячей водой с моющим средством до и после каждого приема пищи.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Игрушки моются в специально выделенных, промаркированных емкостях.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Пенолатексные, ворсованные игрушки и мягконабивные игрушки обрабатываются согласно инструкции производителя.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Туалеты, столовые, вестибюли, рекреации подлежат влажной уборке после каждой перемены.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организации обучения в несколько смен, уборка проводиться по окончании каждой смены.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Уборка помещений интерната при общеобразовательной организации проводится не реже 1 раза в день.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технических целей в туалетных помещениях устанавливается отдельный водопроводный кран.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456923">
        <w:rPr>
          <w:rFonts w:ascii="Arial" w:eastAsia="Times New Roman" w:hAnsi="Arial" w:cs="Arial"/>
          <w:b/>
          <w:bCs/>
          <w:color w:val="333333"/>
          <w:sz w:val="26"/>
          <w:szCs w:val="26"/>
        </w:rPr>
        <w:t>III</w:t>
      </w:r>
      <w:r w:rsidRPr="00456923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. Требования в отношении отдельных видов осуществляемой хозяйствующими субъектами деятельности.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групп раннего возраста (до 3 лет) - не менее 2,5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07EEA1ED" wp14:editId="434F8DD4">
            <wp:extent cx="161925" cy="209550"/>
            <wp:effectExtent l="0" t="0" r="9525" b="0"/>
            <wp:docPr id="4" name="Рисунок 4" descr="https://www.garant.ru/files/5/5/1429255/pict13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5/5/1429255/pict13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на 1 ребенка и для групп дошкольного возраста (от 3 до 7 лет) - не менее 2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68C6ADC1" wp14:editId="7ED55CC2">
            <wp:extent cx="161925" cy="209550"/>
            <wp:effectExtent l="0" t="0" r="9525" b="0"/>
            <wp:docPr id="5" name="Рисунок 5" descr="https://www.garant.ru/files/5/5/1429255/pict14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5/5/1429255/pict14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на одного ребенка, без учета мебели и ее расстановки. Площадь спальной для детей до 3 дет должна составлять не менее 1,8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2904A8D8" wp14:editId="24C6A109">
            <wp:extent cx="161925" cy="209550"/>
            <wp:effectExtent l="0" t="0" r="9525" b="0"/>
            <wp:docPr id="6" name="Рисунок 6" descr="https://www.garant.ru/files/5/5/1429255/pict15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5/5/1429255/pict15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на ребенка, для детей от 3 до 7 лет - не менее 2,0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32CE373E" wp14:editId="164C138B">
            <wp:extent cx="161925" cy="209550"/>
            <wp:effectExtent l="0" t="0" r="9525" b="0"/>
            <wp:docPr id="7" name="Рисунок 7" descr="https://www.garant.ru/files/5/5/1429255/pict16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5/5/1429255/pict16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не ребенка. Физкультурный зал для детей дошкольного возраста должен быть не менее 75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2C2A1805" wp14:editId="3B83EEBB">
            <wp:extent cx="161925" cy="209550"/>
            <wp:effectExtent l="0" t="0" r="9525" b="0"/>
            <wp:docPr id="8" name="Рисунок 8" descr="https://www.garant.ru/files/5/5/1429255/pict17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5/5/1429255/pict17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детей с тяжелыми нарушениями речи - 6 детей в возрасте до 3 лет и 10 детей в возрасте старше 3 лет,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детей с фонетико-фонематическими нарушениями речи - 12 детей в возрасте старше 3 лет,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глухих детей - 6 детей для обеих возрастных групп,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слабослышащих детей - 6 детей в возрасте до 3 лет и 8 детей в возрасте старше 3 лет,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слепых детей - 6 детей для обеих возрастных групп,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слабовидящих детей - 6 детей в возрасте до 3 лет и 10 детей в возрасте старше 3 лет,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детей с амблиопией, косоглазием - 6 детей в возрасте до 3 лет и 10 детей в возрасте старше 3 лет,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детей с задержкой психоречевого развития - 6 детей в возрасте до 3 лет,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для детей с задержкой психического развития - 10 детей в возрасте старше 3 лет,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детей с умственной отсталостью легкой степени - 10 детей в возрасте старше 3 лет,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детей с умственной отсталостью умеренной, тяжелой степени - 8 детей в возрасте старше 3 лет,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детей с расстройствами аутистического спектра - 5 детей для обеих возрастных групп,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Количество детей в группах комбинированной направленности не должно превышать: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 возрасте до 3 лет - не более 10 детей, в том числе не более 3 детей с ограниченными возможностями здоровья;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в возрасте старше 3 лет, в том числе: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3.1.2. Дошкольные организации должны иметь собственную территорию для прогулок детей (отдельно для каждой группы).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65E85121" wp14:editId="7559873A">
            <wp:extent cx="161925" cy="209550"/>
            <wp:effectExtent l="0" t="0" r="9525" b="0"/>
            <wp:docPr id="9" name="Рисунок 9" descr="https://www.garant.ru/files/5/5/1429255/pict18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5/5/1429255/pict18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на одного ребенка, но не менее 20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1C7D4C9C" wp14:editId="313BB63B">
            <wp:extent cx="161925" cy="209550"/>
            <wp:effectExtent l="0" t="0" r="9525" b="0"/>
            <wp:docPr id="10" name="Рисунок 10" descr="https://www.garant.ru/files/5/5/1429255/pict19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5/5/1429255/pict19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 xml:space="preserve"> , песочницы, а также иные 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Допускается установка на прогулочной площадке сборно-разборных навесов, беседок.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 раздевальных комнатах или в отдельных помещениях создаются условия для сушки верхней одежды и обуви детей.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3.1.6. Расстановка кроватей должна обеспечивать свободный проход детей между ними.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Количество кроватей должно соответствовать общему количеству детей, находящихся в группе.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Индивидуальные горшки маркируются по общему количеству детей.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Не допускается использование детского туалета персоналом.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круглосуточном режиме пребывания детей оборудуют ванные комнаты с душевыми кабинами (ваннами, поддонами).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3.1.10. Допускается доставка готовых блюд из других организаций в соответствии с пунктом 1.9 Правил. Доставка готовых блюд должна осуществляться в изотермической таре.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Возможно совмещение в одном помещении туалета и умывальной комнаты.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0DF0CC8C" wp14:editId="38B6101F">
            <wp:extent cx="161925" cy="209550"/>
            <wp:effectExtent l="0" t="0" r="9525" b="0"/>
            <wp:docPr id="11" name="Рисунок 11" descr="https://www.garant.ru/files/5/5/1429255/pict20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5/5/1429255/pict20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на одно посадочное место. Количество посадочных мест должно обеспечивать одновременный прием пищи всеми детьми.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Не допускается просушивание белья, одежды и обуви в игровой комнате, спальне, кухне.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Детям должен быть обеспечен питьевой режим.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3.2.2. Помещения оборудуются вешалками для верхней одежды, полками для обуви.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3.2.4. В помещениях предусматривается естественное и (или) искусственное освещение.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3.2.10. При организации образовательной деятельности пребывание и размещение детей осуществляется в соответствии с требованиями пункта 3.1.11 Правил.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детей обеспечивается питьевой режим.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3.3.3. В игровых комнатах предусматривается естественное и (или) искусственное освещение.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3.3.4. В игровые комнаты принимаются дети, не имеющие визуальных признаков инфекционных заболеваний.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 культурно-спортивная зона и хозяйственная зона. Для маломобильных групп населения оборудуется парковочная зона.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3.4.3. Для всех обучающихся должны быть созданы условия для организации питания.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обеденном зале устанавливаются умывальники из расчета один кран на 20 посадочных мест.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3.4.5. В гардеробах оборудуют места для каждого класса, исходя из площади не менее 0,15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69E3E276" wp14:editId="3B69744D">
            <wp:extent cx="161925" cy="209550"/>
            <wp:effectExtent l="0" t="0" r="9525" b="0"/>
            <wp:docPr id="12" name="Рисунок 12" descr="https://www.garant.ru/files/5/5/1429255/pict21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5/5/1429255/pict21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на ребенка.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3.4.7. Для обучающихся 5-11 классов образовательный процесс может быть организован по кабинетной системе. При невозможности обеспечить обучающихся 5-11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6673AD45" wp14:editId="1686CA41">
            <wp:extent cx="161925" cy="209550"/>
            <wp:effectExtent l="0" t="0" r="9525" b="0"/>
            <wp:docPr id="13" name="Рисунок 13" descr="https://www.garant.ru/files/5/5/1429255/pict22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5/5/1429255/pict22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, душевых - 12,0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7ECB1930" wp14:editId="1D9DB776">
            <wp:extent cx="161925" cy="209550"/>
            <wp:effectExtent l="0" t="0" r="9525" b="0"/>
            <wp:docPr id="14" name="Рисунок 14" descr="https://www.garant.ru/files/5/5/1429255/pict23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5/5/1429255/pict23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персонала оборудуется отдельный санузел (кабина).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обучающихся 5-11 классов необходимо оборудовать комнату (кабину) личной гигиены девочек площадью не менее 3,0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50924092" wp14:editId="2CC64CA9">
            <wp:extent cx="161925" cy="209550"/>
            <wp:effectExtent l="0" t="0" r="9525" b="0"/>
            <wp:docPr id="15" name="Рисунок 15" descr="https://www.garant.ru/files/5/5/1429255/pict24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5/5/1429255/pict24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3.4.12. В учебных кабинетах обеспечивается боковое левостороннее естественное освещение за исключением случаев, указанных в абзаце 2 пункта 2.8.2 Правил.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 3.1.1 Правил категории обучающихся.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- не менее 2,5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15C3FDE1" wp14:editId="647D88B6">
            <wp:extent cx="161925" cy="209550"/>
            <wp:effectExtent l="0" t="0" r="9525" b="0"/>
            <wp:docPr id="16" name="Рисунок 16" descr="https://www.garant.ru/files/5/5/1429255/pict25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5/5/1429255/pict25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на одного обучающегося при фронтальных формах занятий;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- не менее 3,5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1AEF563D" wp14:editId="10F17183">
            <wp:extent cx="161925" cy="209550"/>
            <wp:effectExtent l="0" t="0" r="9525" b="0"/>
            <wp:docPr id="17" name="Рисунок 17" descr="https://www.garant.ru/files/5/5/1429255/pict26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5/5/1429255/pict26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на одного обучающегося при организации групповых форм работы и индивидуальных занятий.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глухих обучающихся - 6 человек,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слепых обучающихся - 8 человек,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слабовидящих обучающихся - 12 человек,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обучающихся с тяжелыми нарушениями речи - 12 человек,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обучающихся с нарушениями опорно-двигательного аппарата - 10 человек,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обучающихся, имеющих задержку психического развития, - 12 человек,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учащихся с умственной отсталостью (интеллектуальными нарушениями) -12 человек,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обучающихся с расстройствами аутистического спектра - 8 человек,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для обучающихся со сложными дефектами (с тяжелыми множественными нарушениями развития) - 5 человек.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3.4.15. 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3.4.16. При реализации образовательных программ должны соблюдаться следующие санитарно-эпидемиологические требования</w:t>
      </w: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11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обучающихся 2-4 классов - не более 5 уроков и один раз в неделю 6 уроков за счет урока физической культуры,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обучающихся 5-6 классов - не более 6 уроков,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для обучающихся 7-11 классов - не более 7 уроков.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Обучение в 1 классе осуществляется с соблюдением следующих требований: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учебные занятия проводятся по 5-дневной учебной неделе и только в первую смену,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 середине учебного дня организуется динамическая пауза продолжительностью не менее 40 минут,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Организация профильного обучения в 10 - 11 классах не должна приводить к увеличению образовательной нагрузки.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Время ожидания начала экзамена в классах не должно превышать 30 минут.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3.5.3. Для образовательных целей мобильные средства связи не используются.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3.5.4. Использование ноутбуков обучающимися начальных классов возможно при наличии дополнительной клавиатуры.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3.5.5. Оконные проемы в помещениях, где используются ЭСО, должны быть оборудованы светорегулируемыми устройствами.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3.5.6. Линейные размеры (диагональ) экрана ЭСО должны соответствовать гигиеническим нормативам.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3.5.8. Шрифтовое оформление электронных учебных изданий должно соответствовать гигиеническим нормативам.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Раздевалки для верхней одежды размещают на первом или цокольном (подвальном) этаже хозяйствующего субъекта.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 организациях с количеством до 20 человек допустимо оборудование одного туалета.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Для персонала выделяется отдельный туалет (кабина).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Мастерские, лаборатории оборудуются умывальными раковинами, кладовыми (шкафами).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Раздевалки оборудуются скамьями и шкафчиками (вешалками).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3.6.3. Состав помещений физкультурно-спортивных организаций определяется видом спорта.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Раздевалки оборудуются скамьями и шкафчиками (вешалками), устройствами для сушки волос.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Спортивный инвентарь хранится в помещениях снарядных при спортивных залах.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3.7. В организациях для детей-сирот и детей, оставшихся без попечения родителей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пункта 3.1. Правил, образовательных программ начального общего, основного общего и среднего общего образования - в соответствии с требованиями пункта 3.3. Правил.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Помещения постоянного пребывания и проживания детей оборудуются приборами по обеззараживанию воздуха.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3.7.3. Раздевальное помещение (прихожая) оборудуется шкафами для раздельного хранения одежды и обуви.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3.7.4. В каждой группе должны быть обеспечены условия для просушивания верхней одежды и обуви детей.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3.7.5. В состав помещений организаций для детей-сирот и детей, оставшихся без попечения родителей включается приемно-карантинное отделение и помещения для проведения реабилитационных мероприятия.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3.8. В учреждениях социального обслуживания семьи и детей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Жилые помещения по типу групповых ячеек должны быть для группы численностью не более 6 человек.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6ACC3029" wp14:editId="1FC21BF3">
            <wp:extent cx="161925" cy="209550"/>
            <wp:effectExtent l="0" t="0" r="9525" b="0"/>
            <wp:docPr id="18" name="Рисунок 18" descr="https://www.garant.ru/files/5/5/1429255/pict27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5/5/1429255/pict27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на 1 койку.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Помещение для оказания медицинской помощи размещается рядом с палатами изолятора, и должно иметь отдельный вход из коридора.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Раздевалки размещаются на первом или цокольном этаже.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Помещения постоянного пребывания и проживания детей оборудуются приборами по обеззараживанию воздуха.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3.9. В профессиональных образовательных организациях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3.9.1. При наличии собственной территории выделяются учебная, физ культурно-спортивная, хозяйственная и жилая (при наличии студенческого общежития) зоны.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3.9.2. Учебные помещения, в которых реализуется общеобразовательная программа, и их оборудование должны соответствовать пункту 3.4 Правил.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Столярные и слесарные верстаки должны соответствовать росту обучающихся и оснащаться подставками для ног.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</w:t>
      </w: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12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достигших 18 лет.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3.10. В образовательных организациях высшего образования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3.10.1. При наличии собственной территории выделяются учебная, физ культурно-спортивная, хозяйственная и жилая (при наличии студенческого общежития) зоны.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3.10.2. Учебные помещения и оборудование для учебно-производственной деятельности должны соответствовать требованиям пунктов 3.4, 3.5, 3.9, 3.6 Правил.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детей, режиме работы и количестве детей.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 xml:space="preserve"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13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. Указанные сведения вносятся в справку не ранее чем за 3 рабочих дня до отъезда.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3.11.3. На собственной территории выделяют следующие зоны: жилая, физкультурно-оздоровительная, хозяйственная.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Помещения для стирки белья могут быть оборудованы в отдельном помещении.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 зданиях для проживания детей обеспечиваются условия для просушивания верхней одежды и обуви.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 xml:space="preserve">В изоляторе медицинского пункта предусматриваются не менее двух палат (раздельно для капельных и кишечных инфекций). В составе помещений изолятора предусматриваются: туалет с 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раковиной для мытья рук, а также буфетная с двумя моечными раковинами для мойки посуды и шкафами для ее хранения.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Возможно оборудование в медицинском пункте или в изоляторе душевой (ванной комнаты).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 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Хозяйствующим субъектом обеспечивается освещение дорожек, ведущих к туалетам.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Ежедневно должна проводиться бесконтактная термометрия детей и сотрудников.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</w:t>
      </w: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14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3.11.11. Допустимая температура воздуха составляет не ниже: в спальных помещениях +18°С, в спортивных залах +17°С, душевых +25°С, в столовой, в помещениях культурно-массового назначения и для занятий + 18°С.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3.12. В организациях отдыха детей и их оздоровления с дневным пребыванием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 xml:space="preserve"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3.13. В палаточных лагерях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К палаточному лагерю должен быть обеспечен подъезд транспорта.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Смены проводятся при установившейся ночной температуре воздуха окружающей среды не ниже +15°С. Продолжительность смены определяется его спецификой (профилем, программой) и климатическими условиями.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3.13.3. Территория, на которой размещается палаточный лагерь, обозначается по периметру знаками.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Медицинский пункт (для палаточных лагерей с численностью несовершеннолетних более 100 детей) размещают в помещении или отдельной палатке площадью не менее 4 </w:t>
      </w:r>
      <w:r w:rsidRPr="0045692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3660721B" wp14:editId="2ED4BADE">
            <wp:extent cx="161925" cy="209550"/>
            <wp:effectExtent l="0" t="0" r="9525" b="0"/>
            <wp:docPr id="19" name="Рисунок 19" descr="https://www.garant.ru/files/5/5/1429255/pict28-74993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5/5/1429255/pict28-749936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. Для изоляции заболевших детей используются отдельные помещения или палатки не более, чем на 3 места, совместное проживание в которых детей и персонала не допускается.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 темное время суток обеспечивается дежурное освещение тропинок, ведущих к туалетам.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3.13.4. По периметру размещения палаток оборудуется отвод для дождевых вод, палатки устанавливаются на настил.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Могут использоваться личные теплоизоляционные коврики, спальные мешки, вкладыши.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Количество детей, проживающих в палатке должно соответствовать вместимости, указанной в техническом паспорте палатки.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3.13.9. Организованная помывка детей должна проводиться не реже 1 раза в 7 календарных дней.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3.13.10. Для просушивания одежды и обуви на территории палаточного лагеря оборудуется специальное место.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 м х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3.13.13. Сточные воды отводятся в специальную яму, закрытую крышкой. Наполнение ямы не должно превышать ее объема.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Мыльные воды должны проходить очистку через фильтр для улавливания мыльных вод.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3.13.15. Организация питания в палаточных лагерях осуществляется в соответствии с абзацами вторым - четвертым, десятым пункта 2.4.6 Правил и санитарно-эпидемиологическими требованиями к организации общественного питания населения.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3.14. В организациях труда и отдыха (полевой практики)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Дети должны работать в головных уборах.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температурах воздуха от 25°С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3.14.2. Запрещается труд детей после 20:00 часов.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3.14.5. В зависимости от используемой формы для организации и размещения лагеря труда и отдыха к его обустройству применяются требования пунктов 3.10, 3.11, 3.12 Правил 3.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3.15. При проведении массовых мероприятий с участием детей и молодежи должны соблюдаться следующие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3.16.1. Хозяйствующие субъекты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4.1. Организаторами поездок организованных групп детей железнодорожным транспортом: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организуется питание организованных групп детей с интервалами не более 4 часов;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4.3. При нахождении в пути свыше 1 дня организуется горячее питание.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наименование или фамилия, имя, отчество (при наличии) организатора отдыха групп детей;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адрес местонахождения организатора;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дата выезда, станция отправления и назначения, номер поезда и вагона, его вид;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количество детей и сопровождающих;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наличие медицинского сопровождения;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наименование и адрес конечного пункта назначения;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планируемый тип питания в пути следования.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3"/>
          <w:szCs w:val="23"/>
        </w:rPr>
        <w:t>------------------------------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Пункт 2 статьи 40 Федерального закона от 30.03.1999 № 52-ФЗ "О санитарно-эпидемиологическом благополучии населения" (Собрание законодательства Российской Федерации, 1999, № 14, ст. 1650; 2003, № 2, ст. 167; 2007, № 46, ст. 5554; 2009, № 1, ст. 17; 2011, № 30 (ч. 1), ст. 4596; 2015, № 1 (часть I), ст. 11) и пункт 2 статьи 12 Федеральный закон от 24.07.1998 № 124-ФЗ "Об основных гарантиях прав ребенка в Российской Федерации" (Собрание законодательства Российской Федерации, 1998, № 31, ст. 3802; 2019, № 42 (часть II), ст. 5801);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Приказ Минздравсоцразвития России от 12.04.2011 №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№ 22111) (зарегистрирован Минюстом России 21.10.2011, регистрационный № 22111), с изменениями, внесенными приказами Минздрава России от 15.05.2013 № 296н (зарегистрирован Минюстом России 03.07.2013, регистрационный № 28970), от 05.12.2014 № 801н (зарегистрирован Минюстом России 03.02.2015, регистрационный № 35848), от 13.12.2019 № 1032н (зарегистрирован Минюстом России 24.12.2019, регистрационный № 56976), приказами Минтруда России и Минздрава России от 06.02.2018 № 62н/49н (зарегистрирован Минюстом России 02.03.2018, регистрационный № 50237) и от 03.04.2020 № 187н/268н (зарегистрирован Минюстом России 12.05.2020, регистрационный № 58320), приказом Минздрава России от 18.05.2020 № 455н (зарегистрирован Минюстом России 22.05.2020 № 58430);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3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 xml:space="preserve"> Приказ Минздрава России от 21.03.2014 № 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№ 32115), с изменениями, внесенными приказами Минздрава России от 16.06.2016 № 370н (зарегистрирован Минюстом России 04.07.2016, регистрационный № 42728), от 13.004.2017 № 175н (зарегистрирован Минюстом России 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lastRenderedPageBreak/>
        <w:t>17.05.2017, регистрационный № 46745), от 19.02.2019 № 69н (зарегистрирован Минюстом России 19.03.2019, регистрационный № 54089), от 24.04.2019 № 243н (зарегистрирован Минюстом России 15.07.2019, регистрационный № 55249);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4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Статья 34 Федерального закона от 30.03.1999 № 52-ФЗ "О санитарно-эпидемиологическом благополучии населения" (Собрание законодательства Российской Федерации, 1999, № 14, ст. 1650; 2004, № 35, ст. 3607; 2011, № 1 ст. 6; № 30 (ч. 1), ст. 4590; 2013, № 48, ст. 6165)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5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Часть 3 статьи 41 Федерального закона от 29.12.2012 № 273-ФЗ "Об образовании в Российской Федерации" (Собрание законодательства Российской Федерации, 31.12.2012, № 53 (ч. 1), ст. 7598; 2016, № 27 (часть II), ст. 4246)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6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ТР ТС 025/2012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№ 32 (Официальный сайт Комиссии Таможенного союза http://www.tsouz.ru/, 18.06.2012) (далее - TP ТС 025/2012)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7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Утверждены решением Комиссии Таможенного союза от 28.05.2010 № 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8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Часть 3 статьи 41 Федерального закона от 29.12.2012 № 273-ФЗ "Об образовании в Российской Федерации" (Собрание законодательства Российской Федерации, 31.12.2012, № 53, ст. 7598; 2016, № 27, ст. 4246)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9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Статья 29 Федерального закона от 30.03.1999 № 52-ФЗ "О санитарно-эпидемиологическом благополучии населения" (Собрание законодательства Российской Федерации, 1999, № 14, ст. 1650; 2004, № 35, ст. 3607)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10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Пункт 7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№ 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№ 1144н (зарегистрирован Минюстом России 03.12.2020, регистрационный № 61238).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11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28 Федерального закона от 30.03.1999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52-ФЗ "О санитарно-эпидемиологическом благополучии населения" (Собрание законодательства Российской Федерации, 1999,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14,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1650; 2011,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30,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4596; 2012,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24,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3069; 2013,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27,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3477) и статья 11 Федерального закона от 29.12.2012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273-ФЗ "Об образовании в Российской Федерации" (Собрание законодательства РФ", 31.12.2012,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53,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7598; 2019,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49,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6962)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12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163 (Собрание законодательства Российской Федерации, 2000,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10,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1131; 2001,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26,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2685; 2011,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26,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3803).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lastRenderedPageBreak/>
        <w:t>13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форма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079/у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36160) с изменениями, внесенными приказами Минздрава России 09.01.2018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2н (зарегистрирован Минюстом России 04.04.2018,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50614) и от 02.11.2020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1186н (зарегистрирован Минюстом Росси</w:t>
      </w:r>
      <w:bookmarkStart w:id="1" w:name="_GoBack"/>
      <w:bookmarkEnd w:id="1"/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и от 27.11.2020, регистрационный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61121).</w:t>
      </w:r>
    </w:p>
    <w:p w:rsidR="00456923" w:rsidRPr="00456923" w:rsidRDefault="00456923" w:rsidP="0045692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456923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14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29 Федерального закона от 30.03.1999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52-ФЗ "О санитарно-эпидемиологическом благополучии населения" (Собрание законодательства Российской Федерации, 1999,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14,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1650; 2004, №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35, ст.</w:t>
      </w:r>
      <w:r w:rsidRPr="0045692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56923">
        <w:rPr>
          <w:rFonts w:ascii="Arial" w:eastAsia="Times New Roman" w:hAnsi="Arial" w:cs="Arial"/>
          <w:color w:val="333333"/>
          <w:sz w:val="23"/>
          <w:szCs w:val="23"/>
          <w:lang w:val="ru-RU"/>
        </w:rPr>
        <w:t>3607)</w:t>
      </w:r>
    </w:p>
    <w:p w:rsidR="0037315E" w:rsidRPr="00456923" w:rsidRDefault="0037315E">
      <w:pPr>
        <w:rPr>
          <w:lang w:val="ru-RU"/>
        </w:rPr>
      </w:pPr>
    </w:p>
    <w:sectPr w:rsidR="0037315E" w:rsidRPr="00456923" w:rsidSect="004569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20"/>
    <w:rsid w:val="0009506A"/>
    <w:rsid w:val="0037315E"/>
    <w:rsid w:val="003D2EAD"/>
    <w:rsid w:val="00456923"/>
    <w:rsid w:val="00537320"/>
    <w:rsid w:val="00D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6655E-8703-471B-87B0-B92944B1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0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20879</Words>
  <Characters>119015</Characters>
  <Application>Microsoft Office Word</Application>
  <DocSecurity>0</DocSecurity>
  <Lines>991</Lines>
  <Paragraphs>279</Paragraphs>
  <ScaleCrop>false</ScaleCrop>
  <Company>SPecialiST RePack</Company>
  <LinksUpToDate>false</LinksUpToDate>
  <CharactersWithSpaces>139615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2022-03-16T08:07:00Z</dcterms:created>
  <dcterms:modified xsi:type="dcterms:W3CDTF">2022-03-16T08:07:00Z</dcterms:modified>
</cp:coreProperties>
</file>